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drawings/drawing5.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drawings/drawing6.xml" ContentType="application/vnd.openxmlformats-officedocument.drawingml.chartshapes+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19F76" w14:textId="77777777" w:rsidR="00136E07" w:rsidRDefault="001254B0" w:rsidP="00EE2EAE">
      <w:pPr>
        <w:pStyle w:val="Heading4"/>
        <w:jc w:val="both"/>
      </w:pPr>
      <w:bookmarkStart w:id="0" w:name="OLE_LINK15"/>
      <w:bookmarkStart w:id="1" w:name="OLE_LINK16"/>
      <w:r>
        <w:rPr>
          <w:noProof/>
        </w:rPr>
        <mc:AlternateContent>
          <mc:Choice Requires="wps">
            <w:drawing>
              <wp:anchor distT="0" distB="0" distL="114300" distR="114300" simplePos="0" relativeHeight="251664384" behindDoc="0" locked="0" layoutInCell="1" allowOverlap="1" wp14:anchorId="20FFA0A9" wp14:editId="09C341D9">
                <wp:simplePos x="0" y="0"/>
                <wp:positionH relativeFrom="column">
                  <wp:posOffset>1424940</wp:posOffset>
                </wp:positionH>
                <wp:positionV relativeFrom="paragraph">
                  <wp:posOffset>1947545</wp:posOffset>
                </wp:positionV>
                <wp:extent cx="5074920" cy="2539365"/>
                <wp:effectExtent l="0" t="4445"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253936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48737" w14:textId="0039BC12" w:rsidR="004B53EA" w:rsidRPr="00DC00CE" w:rsidRDefault="004B53EA" w:rsidP="00B7670E">
                            <w:pPr>
                              <w:pStyle w:val="Heading4"/>
                              <w:rPr>
                                <w:rFonts w:ascii="Century Gothic" w:hAnsi="Century Gothic"/>
                                <w:i w:val="0"/>
                                <w:color w:val="FFFFFF" w:themeColor="background1"/>
                                <w:sz w:val="48"/>
                              </w:rPr>
                            </w:pPr>
                            <w:r>
                              <w:rPr>
                                <w:rFonts w:ascii="Century Gothic" w:hAnsi="Century Gothic"/>
                                <w:color w:val="FFFFFF" w:themeColor="background1"/>
                                <w:sz w:val="48"/>
                              </w:rPr>
                              <w:t>2018</w:t>
                            </w:r>
                            <w:r w:rsidRPr="00DC00CE">
                              <w:rPr>
                                <w:rFonts w:ascii="Century Gothic" w:hAnsi="Century Gothic"/>
                                <w:color w:val="FFFFFF" w:themeColor="background1"/>
                                <w:sz w:val="48"/>
                              </w:rPr>
                              <w:t xml:space="preserve"> </w:t>
                            </w:r>
                            <w:r>
                              <w:rPr>
                                <w:rFonts w:ascii="Century Gothic" w:hAnsi="Century Gothic"/>
                                <w:color w:val="FFFFFF" w:themeColor="background1"/>
                                <w:sz w:val="48"/>
                              </w:rPr>
                              <w:t>Commonwealth</w:t>
                            </w:r>
                            <w:r w:rsidRPr="00DC00CE">
                              <w:rPr>
                                <w:rFonts w:ascii="Century Gothic" w:hAnsi="Century Gothic"/>
                                <w:color w:val="FFFFFF" w:themeColor="background1"/>
                                <w:sz w:val="48"/>
                              </w:rPr>
                              <w:t xml:space="preserve"> of Virginia Information Security Report</w:t>
                            </w:r>
                          </w:p>
                          <w:p w14:paraId="7B743C97" w14:textId="77777777" w:rsidR="004B53EA" w:rsidRDefault="004B53EA" w:rsidP="00B7670E">
                            <w:r>
                              <w:t xml:space="preserve">                                                 </w:t>
                            </w:r>
                          </w:p>
                          <w:p w14:paraId="3545778C" w14:textId="77777777" w:rsidR="004B53EA" w:rsidRDefault="004B53EA" w:rsidP="00B7670E">
                            <w:r>
                              <w:tab/>
                            </w:r>
                            <w:r>
                              <w:tab/>
                            </w:r>
                            <w:r>
                              <w:tab/>
                            </w:r>
                            <w:r>
                              <w:tab/>
                            </w:r>
                          </w:p>
                          <w:p w14:paraId="45081817" w14:textId="77777777" w:rsidR="004B53EA" w:rsidRDefault="004B53EA" w:rsidP="00B7670E"/>
                          <w:p w14:paraId="62910937" w14:textId="77777777" w:rsidR="004B53EA" w:rsidRDefault="004B53EA" w:rsidP="00B7670E"/>
                          <w:p w14:paraId="711B5B2B" w14:textId="77777777" w:rsidR="004B53EA" w:rsidRDefault="004B53EA" w:rsidP="00B7670E"/>
                          <w:p w14:paraId="418578CE" w14:textId="77777777" w:rsidR="004B53EA" w:rsidRDefault="004B53EA" w:rsidP="00B7670E"/>
                          <w:p w14:paraId="38785E2A" w14:textId="77777777" w:rsidR="004B53EA" w:rsidRDefault="004B53EA" w:rsidP="00B7670E">
                            <w:r>
                              <w:t xml:space="preserve">                  </w:t>
                            </w:r>
                          </w:p>
                          <w:p w14:paraId="7CC1373D" w14:textId="77777777" w:rsidR="004B53EA" w:rsidRDefault="004B53EA" w:rsidP="00B7670E">
                            <w:pPr>
                              <w:autoSpaceDE w:val="0"/>
                              <w:autoSpaceDN w:val="0"/>
                              <w:adjustRightInd w:val="0"/>
                              <w:rPr>
                                <w:rFonts w:ascii="Helvetica" w:hAnsi="Helvetica"/>
                                <w:b/>
                                <w:bCs/>
                                <w:sz w:val="20"/>
                              </w:rPr>
                            </w:pPr>
                          </w:p>
                          <w:p w14:paraId="1B711207" w14:textId="77777777" w:rsidR="004B53EA" w:rsidRDefault="004B53EA" w:rsidP="00B7670E">
                            <w:pPr>
                              <w:rPr>
                                <w:sz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2.2pt;margin-top:153.35pt;width:399.6pt;height:19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" filled="f" fillcolor="#d8d8d8" stroked="f">
                <v:textbox>
                  <w:txbxContent>
                    <w:p w14:paraId="72748737" w14:textId="0039BC12" w:rsidR="004B53EA" w:rsidRPr="00DC00CE" w:rsidRDefault="004B53EA" w:rsidP="00B7670E">
                      <w:pPr>
                        <w:pStyle w:val="Heading4"/>
                        <w:rPr>
                          <w:rFonts w:ascii="Century Gothic" w:hAnsi="Century Gothic"/>
                          <w:i w:val="0"/>
                          <w:color w:val="FFFFFF" w:themeColor="background1"/>
                          <w:sz w:val="48"/>
                        </w:rPr>
                      </w:pPr>
                      <w:r>
                        <w:rPr>
                          <w:rFonts w:ascii="Century Gothic" w:hAnsi="Century Gothic"/>
                          <w:color w:val="FFFFFF" w:themeColor="background1"/>
                          <w:sz w:val="48"/>
                        </w:rPr>
                        <w:t>2018</w:t>
                      </w:r>
                      <w:r w:rsidRPr="00DC00CE">
                        <w:rPr>
                          <w:rFonts w:ascii="Century Gothic" w:hAnsi="Century Gothic"/>
                          <w:color w:val="FFFFFF" w:themeColor="background1"/>
                          <w:sz w:val="48"/>
                        </w:rPr>
                        <w:t xml:space="preserve"> </w:t>
                      </w:r>
                      <w:r>
                        <w:rPr>
                          <w:rFonts w:ascii="Century Gothic" w:hAnsi="Century Gothic"/>
                          <w:color w:val="FFFFFF" w:themeColor="background1"/>
                          <w:sz w:val="48"/>
                        </w:rPr>
                        <w:t>Commonwealth</w:t>
                      </w:r>
                      <w:r w:rsidRPr="00DC00CE">
                        <w:rPr>
                          <w:rFonts w:ascii="Century Gothic" w:hAnsi="Century Gothic"/>
                          <w:color w:val="FFFFFF" w:themeColor="background1"/>
                          <w:sz w:val="48"/>
                        </w:rPr>
                        <w:t xml:space="preserve"> of Virginia Information Security Report</w:t>
                      </w:r>
                    </w:p>
                    <w:p w14:paraId="7B743C97" w14:textId="77777777" w:rsidR="004B53EA" w:rsidRDefault="004B53EA" w:rsidP="00B7670E">
                      <w:r>
                        <w:t xml:space="preserve">                                                 </w:t>
                      </w:r>
                    </w:p>
                    <w:p w14:paraId="3545778C" w14:textId="77777777" w:rsidR="004B53EA" w:rsidRDefault="004B53EA" w:rsidP="00B7670E">
                      <w:r>
                        <w:tab/>
                      </w:r>
                      <w:r>
                        <w:tab/>
                      </w:r>
                      <w:r>
                        <w:tab/>
                      </w:r>
                      <w:r>
                        <w:tab/>
                      </w:r>
                    </w:p>
                    <w:p w14:paraId="45081817" w14:textId="77777777" w:rsidR="004B53EA" w:rsidRDefault="004B53EA" w:rsidP="00B7670E"/>
                    <w:p w14:paraId="62910937" w14:textId="77777777" w:rsidR="004B53EA" w:rsidRDefault="004B53EA" w:rsidP="00B7670E"/>
                    <w:p w14:paraId="711B5B2B" w14:textId="77777777" w:rsidR="004B53EA" w:rsidRDefault="004B53EA" w:rsidP="00B7670E"/>
                    <w:p w14:paraId="418578CE" w14:textId="77777777" w:rsidR="004B53EA" w:rsidRDefault="004B53EA" w:rsidP="00B7670E"/>
                    <w:p w14:paraId="38785E2A" w14:textId="77777777" w:rsidR="004B53EA" w:rsidRDefault="004B53EA" w:rsidP="00B7670E">
                      <w:r>
                        <w:t xml:space="preserve">                  </w:t>
                      </w:r>
                    </w:p>
                    <w:p w14:paraId="7CC1373D" w14:textId="77777777" w:rsidR="004B53EA" w:rsidRDefault="004B53EA" w:rsidP="00B7670E">
                      <w:pPr>
                        <w:autoSpaceDE w:val="0"/>
                        <w:autoSpaceDN w:val="0"/>
                        <w:adjustRightInd w:val="0"/>
                        <w:rPr>
                          <w:rFonts w:ascii="Helvetica" w:hAnsi="Helvetica"/>
                          <w:b/>
                          <w:bCs/>
                          <w:sz w:val="20"/>
                        </w:rPr>
                      </w:pPr>
                    </w:p>
                    <w:p w14:paraId="1B711207" w14:textId="77777777" w:rsidR="004B53EA" w:rsidRDefault="004B53EA" w:rsidP="00B7670E">
                      <w:pPr>
                        <w:rPr>
                          <w:sz w:val="56"/>
                        </w:rPr>
                      </w:pPr>
                    </w:p>
                  </w:txbxContent>
                </v:textbox>
              </v:shape>
            </w:pict>
          </mc:Fallback>
        </mc:AlternateContent>
      </w:r>
      <w:r w:rsidR="00053D33">
        <w:rPr>
          <w:noProof/>
        </w:rPr>
        <w:drawing>
          <wp:inline distT="0" distB="0" distL="0" distR="0" wp14:anchorId="22C1DC21" wp14:editId="0EA1F45C">
            <wp:extent cx="6503670" cy="7334250"/>
            <wp:effectExtent l="0" t="0" r="0" b="0"/>
            <wp:docPr id="1" name="Picture 1" descr="MS_WordReportCover_fadeVA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WordReportCover_fadeVALines"/>
                    <pic:cNvPicPr>
                      <a:picLocks noChangeAspect="1" noChangeArrowheads="1"/>
                    </pic:cNvPicPr>
                  </pic:nvPicPr>
                  <pic:blipFill>
                    <a:blip r:embed="rId9" cstate="print"/>
                    <a:srcRect/>
                    <a:stretch>
                      <a:fillRect/>
                    </a:stretch>
                  </pic:blipFill>
                  <pic:spPr bwMode="auto">
                    <a:xfrm>
                      <a:off x="0" y="0"/>
                      <a:ext cx="6524556" cy="7357803"/>
                    </a:xfrm>
                    <a:prstGeom prst="rect">
                      <a:avLst/>
                    </a:prstGeom>
                    <a:noFill/>
                    <a:ln w="9525">
                      <a:noFill/>
                      <a:miter lim="800000"/>
                      <a:headEnd/>
                      <a:tailEnd/>
                    </a:ln>
                  </pic:spPr>
                </pic:pic>
              </a:graphicData>
            </a:graphic>
          </wp:inline>
        </w:drawing>
      </w:r>
    </w:p>
    <w:p w14:paraId="3AA4C00F" w14:textId="77777777" w:rsidR="00603A5B" w:rsidRDefault="00603A5B" w:rsidP="00534E3D">
      <w:pPr>
        <w:jc w:val="center"/>
        <w:rPr>
          <w:rFonts w:ascii="Verdana" w:hAnsi="Verdana"/>
        </w:rPr>
      </w:pPr>
    </w:p>
    <w:p w14:paraId="5D68C6DB" w14:textId="77777777" w:rsidR="00603A5B" w:rsidRDefault="00603A5B" w:rsidP="00534E3D">
      <w:pPr>
        <w:jc w:val="center"/>
        <w:rPr>
          <w:rFonts w:ascii="Verdana" w:hAnsi="Verdana"/>
        </w:rPr>
      </w:pPr>
    </w:p>
    <w:p w14:paraId="17A19D5F" w14:textId="77777777" w:rsidR="00603A5B" w:rsidRDefault="00603A5B" w:rsidP="00534E3D">
      <w:pPr>
        <w:jc w:val="center"/>
        <w:rPr>
          <w:rFonts w:ascii="Verdana" w:hAnsi="Verdana"/>
        </w:rPr>
      </w:pPr>
    </w:p>
    <w:p w14:paraId="2E1F08E0" w14:textId="77777777" w:rsidR="00603A5B" w:rsidRDefault="00603A5B" w:rsidP="00534E3D">
      <w:pPr>
        <w:jc w:val="center"/>
        <w:rPr>
          <w:rFonts w:ascii="Verdana" w:hAnsi="Verdana"/>
        </w:rPr>
      </w:pPr>
    </w:p>
    <w:p w14:paraId="104F4544" w14:textId="77777777" w:rsidR="00534E3D" w:rsidRPr="0011697A" w:rsidRDefault="00534E3D" w:rsidP="00534E3D">
      <w:pPr>
        <w:jc w:val="center"/>
        <w:rPr>
          <w:rFonts w:ascii="Verdana" w:hAnsi="Verdana"/>
        </w:rPr>
      </w:pPr>
      <w:r w:rsidRPr="0011697A">
        <w:rPr>
          <w:rFonts w:ascii="Verdana" w:hAnsi="Verdana"/>
        </w:rPr>
        <w:lastRenderedPageBreak/>
        <w:t>Prepared and Published by:</w:t>
      </w:r>
    </w:p>
    <w:p w14:paraId="4C20FB8C" w14:textId="77777777" w:rsidR="00534E3D" w:rsidRPr="0011697A" w:rsidRDefault="00534E3D" w:rsidP="00534E3D">
      <w:pPr>
        <w:jc w:val="center"/>
        <w:rPr>
          <w:rFonts w:ascii="Verdana" w:hAnsi="Verdana"/>
          <w:b/>
          <w:sz w:val="28"/>
        </w:rPr>
      </w:pPr>
      <w:r w:rsidRPr="0011697A">
        <w:rPr>
          <w:rFonts w:ascii="Verdana" w:hAnsi="Verdana"/>
          <w:b/>
          <w:sz w:val="28"/>
        </w:rPr>
        <w:t>Virginia Information Technologies Agency</w:t>
      </w:r>
    </w:p>
    <w:p w14:paraId="285F0C64" w14:textId="6274EC3B" w:rsidR="006117FB" w:rsidRDefault="006117FB" w:rsidP="006117FB">
      <w:pPr>
        <w:jc w:val="center"/>
        <w:rPr>
          <w:rFonts w:ascii="Verdana" w:eastAsiaTheme="minorEastAsia" w:hAnsi="Verdana"/>
          <w:noProof/>
        </w:rPr>
      </w:pPr>
      <w:r>
        <w:rPr>
          <w:rFonts w:ascii="Verdana" w:eastAsiaTheme="minorEastAsia" w:hAnsi="Verdana"/>
          <w:i/>
          <w:iCs/>
          <w:noProof/>
        </w:rPr>
        <w:t xml:space="preserve">VITA - Powering the </w:t>
      </w:r>
      <w:r w:rsidR="000F2815">
        <w:rPr>
          <w:rFonts w:ascii="Verdana" w:eastAsiaTheme="minorEastAsia" w:hAnsi="Verdana"/>
          <w:i/>
          <w:iCs/>
          <w:noProof/>
        </w:rPr>
        <w:t>c</w:t>
      </w:r>
      <w:r w:rsidR="000B5236">
        <w:rPr>
          <w:rFonts w:ascii="Verdana" w:eastAsiaTheme="minorEastAsia" w:hAnsi="Verdana"/>
          <w:i/>
          <w:iCs/>
          <w:noProof/>
        </w:rPr>
        <w:t>ommowealth</w:t>
      </w:r>
      <w:r>
        <w:rPr>
          <w:rFonts w:ascii="Verdana" w:eastAsiaTheme="minorEastAsia" w:hAnsi="Verdana"/>
          <w:i/>
          <w:iCs/>
          <w:noProof/>
        </w:rPr>
        <w:t>’s digital government</w:t>
      </w:r>
    </w:p>
    <w:p w14:paraId="616B2CB2" w14:textId="77777777" w:rsidR="00534E3D" w:rsidRPr="0011697A" w:rsidRDefault="00534E3D" w:rsidP="00534E3D">
      <w:pPr>
        <w:jc w:val="center"/>
        <w:rPr>
          <w:rFonts w:ascii="Verdana" w:hAnsi="Verdana"/>
          <w:sz w:val="28"/>
        </w:rPr>
      </w:pPr>
    </w:p>
    <w:p w14:paraId="679E96BB" w14:textId="77777777" w:rsidR="00534E3D" w:rsidRPr="0011697A" w:rsidRDefault="00534E3D" w:rsidP="00534E3D">
      <w:pPr>
        <w:jc w:val="center"/>
        <w:rPr>
          <w:rFonts w:ascii="Verdana" w:hAnsi="Verdana"/>
        </w:rPr>
      </w:pPr>
    </w:p>
    <w:p w14:paraId="4A097D9E" w14:textId="77777777" w:rsidR="00534E3D" w:rsidRDefault="00534E3D" w:rsidP="00534E3D">
      <w:pPr>
        <w:jc w:val="center"/>
        <w:rPr>
          <w:rFonts w:ascii="Verdana" w:hAnsi="Verdana"/>
        </w:rPr>
      </w:pPr>
      <w:r w:rsidRPr="0011697A">
        <w:rPr>
          <w:rFonts w:ascii="Verdana" w:hAnsi="Verdana"/>
        </w:rPr>
        <w:t>Comments on the</w:t>
      </w:r>
    </w:p>
    <w:p w14:paraId="6924EFA3" w14:textId="60E8B697" w:rsidR="00534E3D" w:rsidRPr="00423D06" w:rsidRDefault="00603A5B" w:rsidP="00534E3D">
      <w:pPr>
        <w:jc w:val="center"/>
        <w:rPr>
          <w:rFonts w:ascii="Verdana" w:hAnsi="Verdana"/>
          <w:i/>
        </w:rPr>
      </w:pPr>
      <w:r>
        <w:rPr>
          <w:rFonts w:ascii="Verdana" w:hAnsi="Verdana"/>
          <w:i/>
        </w:rPr>
        <w:t>2018</w:t>
      </w:r>
      <w:r w:rsidR="00602E2E" w:rsidRPr="005428FF">
        <w:rPr>
          <w:rFonts w:ascii="Verdana" w:hAnsi="Verdana"/>
          <w:i/>
        </w:rPr>
        <w:t xml:space="preserve"> </w:t>
      </w:r>
      <w:r w:rsidR="00073D0F">
        <w:rPr>
          <w:rFonts w:ascii="Verdana" w:hAnsi="Verdana"/>
          <w:i/>
        </w:rPr>
        <w:t>Commonwealth</w:t>
      </w:r>
      <w:r w:rsidR="005428FF" w:rsidRPr="005428FF">
        <w:rPr>
          <w:rFonts w:ascii="Verdana" w:hAnsi="Verdana"/>
          <w:i/>
        </w:rPr>
        <w:t xml:space="preserve"> of Virginia Information Security Report</w:t>
      </w:r>
    </w:p>
    <w:p w14:paraId="490A26DE" w14:textId="77777777" w:rsidR="00534E3D" w:rsidRPr="0011697A" w:rsidRDefault="00534E3D" w:rsidP="00534E3D">
      <w:pPr>
        <w:jc w:val="center"/>
        <w:rPr>
          <w:rFonts w:ascii="Verdana" w:hAnsi="Verdana"/>
        </w:rPr>
      </w:pPr>
      <w:r w:rsidRPr="0011697A">
        <w:rPr>
          <w:rFonts w:ascii="Verdana" w:hAnsi="Verdana"/>
        </w:rPr>
        <w:t xml:space="preserve">are welcome  </w:t>
      </w:r>
    </w:p>
    <w:p w14:paraId="2581E6A5" w14:textId="77777777" w:rsidR="00534E3D" w:rsidRDefault="00534E3D" w:rsidP="00534E3D">
      <w:pPr>
        <w:jc w:val="center"/>
        <w:rPr>
          <w:rFonts w:ascii="Verdana" w:hAnsi="Verdana"/>
        </w:rPr>
      </w:pPr>
      <w:r w:rsidRPr="0011697A">
        <w:rPr>
          <w:rFonts w:ascii="Verdana" w:hAnsi="Verdana"/>
        </w:rPr>
        <w:t xml:space="preserve">Suggestions may be conveyed electronically to </w:t>
      </w:r>
      <w:r w:rsidR="00073D0F">
        <w:rPr>
          <w:rFonts w:ascii="Verdana" w:hAnsi="Verdana"/>
        </w:rPr>
        <w:t>Commonwealth</w:t>
      </w:r>
      <w:r w:rsidRPr="00B2442B">
        <w:rPr>
          <w:rFonts w:ascii="Verdana" w:hAnsi="Verdana"/>
        </w:rPr>
        <w:t>Security@</w:t>
      </w:r>
      <w:r w:rsidR="00E30A1B">
        <w:rPr>
          <w:rFonts w:ascii="Verdana" w:hAnsi="Verdana"/>
        </w:rPr>
        <w:t>vita.virginia.gov</w:t>
      </w:r>
    </w:p>
    <w:p w14:paraId="037A132C" w14:textId="77777777" w:rsidR="00534E3D" w:rsidRDefault="00534E3D" w:rsidP="00534E3D">
      <w:pPr>
        <w:jc w:val="center"/>
        <w:rPr>
          <w:rFonts w:ascii="Verdana" w:hAnsi="Verdana"/>
        </w:rPr>
      </w:pPr>
    </w:p>
    <w:p w14:paraId="7D3E408B" w14:textId="77777777" w:rsidR="00534E3D" w:rsidRDefault="00534E3D" w:rsidP="00534E3D">
      <w:pPr>
        <w:jc w:val="center"/>
        <w:rPr>
          <w:rFonts w:ascii="Verdana" w:hAnsi="Verdana"/>
        </w:rPr>
      </w:pPr>
    </w:p>
    <w:p w14:paraId="583F123A" w14:textId="77777777" w:rsidR="00534E3D" w:rsidRPr="0011697A" w:rsidRDefault="00534E3D" w:rsidP="00534E3D">
      <w:pPr>
        <w:jc w:val="center"/>
        <w:rPr>
          <w:rFonts w:ascii="Verdana" w:hAnsi="Verdana"/>
        </w:rPr>
      </w:pPr>
      <w:r w:rsidRPr="0011697A">
        <w:rPr>
          <w:rFonts w:ascii="Verdana" w:hAnsi="Verdana"/>
        </w:rPr>
        <w:t xml:space="preserve">  Please submit written correspondence to:</w:t>
      </w:r>
    </w:p>
    <w:p w14:paraId="06AB0D1F" w14:textId="77777777" w:rsidR="00534E3D" w:rsidRPr="0011697A" w:rsidRDefault="00534E3D" w:rsidP="00534E3D">
      <w:pPr>
        <w:jc w:val="center"/>
        <w:rPr>
          <w:rFonts w:ascii="Verdana" w:hAnsi="Verdana"/>
        </w:rPr>
      </w:pPr>
    </w:p>
    <w:p w14:paraId="6B230DC4" w14:textId="77777777" w:rsidR="00534E3D" w:rsidRPr="0011697A" w:rsidRDefault="00534E3D" w:rsidP="00534E3D">
      <w:pPr>
        <w:jc w:val="center"/>
        <w:rPr>
          <w:rFonts w:ascii="Verdana" w:hAnsi="Verdana"/>
        </w:rPr>
      </w:pPr>
    </w:p>
    <w:p w14:paraId="3AD3F830" w14:textId="77777777" w:rsidR="00534E3D" w:rsidRPr="0011697A" w:rsidRDefault="00534E3D" w:rsidP="00534E3D">
      <w:pPr>
        <w:jc w:val="center"/>
        <w:rPr>
          <w:rFonts w:ascii="Verdana" w:hAnsi="Verdana"/>
        </w:rPr>
      </w:pPr>
      <w:r w:rsidRPr="0011697A">
        <w:rPr>
          <w:rFonts w:ascii="Verdana" w:hAnsi="Verdana"/>
        </w:rPr>
        <w:t xml:space="preserve">Chief Information Officer of the </w:t>
      </w:r>
      <w:r w:rsidR="00073D0F">
        <w:rPr>
          <w:rFonts w:ascii="Verdana" w:hAnsi="Verdana"/>
        </w:rPr>
        <w:t>Commonwealth</w:t>
      </w:r>
    </w:p>
    <w:p w14:paraId="70E51723" w14:textId="77777777" w:rsidR="00534E3D" w:rsidRPr="0011697A" w:rsidRDefault="00534E3D" w:rsidP="00534E3D">
      <w:pPr>
        <w:jc w:val="center"/>
        <w:rPr>
          <w:rFonts w:ascii="Verdana" w:hAnsi="Verdana"/>
        </w:rPr>
      </w:pPr>
      <w:r w:rsidRPr="0011697A">
        <w:rPr>
          <w:rFonts w:ascii="Verdana" w:hAnsi="Verdana"/>
        </w:rPr>
        <w:t>Virginia Information Technologies Agency</w:t>
      </w:r>
    </w:p>
    <w:p w14:paraId="1FB5816B" w14:textId="77777777" w:rsidR="00534E3D" w:rsidRPr="0011697A" w:rsidRDefault="00073D0F" w:rsidP="00534E3D">
      <w:pPr>
        <w:jc w:val="center"/>
        <w:rPr>
          <w:rFonts w:ascii="Verdana" w:hAnsi="Verdana"/>
        </w:rPr>
      </w:pPr>
      <w:r>
        <w:rPr>
          <w:rFonts w:ascii="Verdana" w:hAnsi="Verdana"/>
        </w:rPr>
        <w:t>Commonwealth</w:t>
      </w:r>
      <w:r w:rsidR="00534E3D" w:rsidRPr="0011697A">
        <w:rPr>
          <w:rFonts w:ascii="Verdana" w:hAnsi="Verdana"/>
        </w:rPr>
        <w:t xml:space="preserve"> Enterprise Solutions Center</w:t>
      </w:r>
    </w:p>
    <w:p w14:paraId="1132A856" w14:textId="77777777" w:rsidR="00534E3D" w:rsidRPr="0011697A" w:rsidRDefault="00534E3D" w:rsidP="00534E3D">
      <w:pPr>
        <w:jc w:val="center"/>
        <w:rPr>
          <w:rFonts w:ascii="Verdana" w:hAnsi="Verdana"/>
        </w:rPr>
      </w:pPr>
      <w:r w:rsidRPr="0011697A">
        <w:rPr>
          <w:rFonts w:ascii="Verdana" w:hAnsi="Verdana"/>
        </w:rPr>
        <w:t>11751 Meadowville Lane</w:t>
      </w:r>
    </w:p>
    <w:p w14:paraId="5F70A323" w14:textId="77777777" w:rsidR="00534E3D" w:rsidRPr="0011697A" w:rsidRDefault="00534E3D" w:rsidP="00534E3D">
      <w:pPr>
        <w:jc w:val="center"/>
        <w:rPr>
          <w:rFonts w:ascii="Verdana" w:hAnsi="Verdana"/>
        </w:rPr>
      </w:pPr>
      <w:r w:rsidRPr="0011697A">
        <w:rPr>
          <w:rFonts w:ascii="Verdana" w:hAnsi="Verdana"/>
        </w:rPr>
        <w:t>Chester, VA  23836</w:t>
      </w:r>
    </w:p>
    <w:p w14:paraId="7F2F62E2" w14:textId="77777777" w:rsidR="00534E3D" w:rsidRPr="0011697A" w:rsidRDefault="00534E3D" w:rsidP="00534E3D">
      <w:pPr>
        <w:jc w:val="center"/>
        <w:rPr>
          <w:rFonts w:ascii="Verdana" w:hAnsi="Verdana"/>
        </w:rPr>
      </w:pPr>
      <w:r w:rsidRPr="0011697A">
        <w:rPr>
          <w:rFonts w:ascii="Verdana" w:hAnsi="Verdana"/>
        </w:rPr>
        <w:t>cio@vita.virginia.gov</w:t>
      </w:r>
    </w:p>
    <w:p w14:paraId="57F16AE4" w14:textId="77777777" w:rsidR="00534E3D" w:rsidRPr="0011697A" w:rsidRDefault="00534E3D" w:rsidP="00534E3D">
      <w:pPr>
        <w:jc w:val="center"/>
        <w:rPr>
          <w:rFonts w:ascii="Verdana" w:hAnsi="Verdana"/>
          <w:sz w:val="28"/>
        </w:rPr>
      </w:pPr>
    </w:p>
    <w:p w14:paraId="639E9128" w14:textId="77777777" w:rsidR="00534E3D" w:rsidRPr="0011697A" w:rsidRDefault="00534E3D" w:rsidP="00534E3D">
      <w:pPr>
        <w:jc w:val="center"/>
        <w:rPr>
          <w:rFonts w:ascii="Verdana" w:hAnsi="Verdana"/>
          <w:sz w:val="28"/>
        </w:rPr>
      </w:pPr>
    </w:p>
    <w:p w14:paraId="55338DB0" w14:textId="77777777" w:rsidR="00534E3D" w:rsidRPr="0011697A" w:rsidRDefault="00534E3D" w:rsidP="00534E3D">
      <w:pPr>
        <w:jc w:val="center"/>
        <w:rPr>
          <w:rFonts w:ascii="Verdana" w:hAnsi="Verdana"/>
          <w:sz w:val="22"/>
          <w:szCs w:val="22"/>
        </w:rPr>
      </w:pPr>
    </w:p>
    <w:p w14:paraId="35CF70D4" w14:textId="77777777" w:rsidR="00534E3D" w:rsidRPr="0011697A" w:rsidRDefault="00534E3D" w:rsidP="00534E3D">
      <w:pPr>
        <w:spacing w:before="40" w:after="120"/>
        <w:rPr>
          <w:rFonts w:ascii="Verdana" w:hAnsi="Verdana"/>
          <w:sz w:val="22"/>
        </w:rPr>
      </w:pPr>
    </w:p>
    <w:p w14:paraId="72285153" w14:textId="77777777" w:rsidR="00534E3D" w:rsidRPr="0011697A" w:rsidRDefault="00534E3D" w:rsidP="00534E3D">
      <w:pPr>
        <w:spacing w:before="40" w:after="120"/>
        <w:rPr>
          <w:rFonts w:ascii="Verdana" w:hAnsi="Verdana"/>
          <w:sz w:val="22"/>
        </w:rPr>
      </w:pPr>
      <w:r w:rsidRPr="0011697A">
        <w:rPr>
          <w:rFonts w:ascii="Verdana" w:hAnsi="Verdana"/>
          <w:sz w:val="22"/>
        </w:rPr>
        <w:br/>
      </w:r>
    </w:p>
    <w:p w14:paraId="0FC4D4F7" w14:textId="77777777" w:rsidR="00534E3D" w:rsidRPr="0011697A" w:rsidRDefault="00534E3D" w:rsidP="00534E3D">
      <w:pPr>
        <w:spacing w:before="40" w:after="120"/>
        <w:rPr>
          <w:rFonts w:ascii="Verdana" w:hAnsi="Verdana"/>
          <w:spacing w:val="-3"/>
        </w:rPr>
      </w:pPr>
    </w:p>
    <w:p w14:paraId="0D2ACC4B" w14:textId="77777777" w:rsidR="00534E3D" w:rsidRPr="0011697A" w:rsidRDefault="00534E3D" w:rsidP="00534E3D">
      <w:pPr>
        <w:rPr>
          <w:rFonts w:ascii="Verdana" w:hAnsi="Verdana"/>
          <w:spacing w:val="-3"/>
        </w:rPr>
      </w:pPr>
    </w:p>
    <w:p w14:paraId="3DEC1471" w14:textId="77777777" w:rsidR="00534E3D" w:rsidRPr="0011697A" w:rsidRDefault="00534E3D" w:rsidP="00534E3D">
      <w:pPr>
        <w:rPr>
          <w:rFonts w:ascii="Verdana" w:hAnsi="Verdana"/>
          <w:spacing w:val="-3"/>
        </w:rPr>
      </w:pPr>
    </w:p>
    <w:p w14:paraId="24D8F98F" w14:textId="77777777" w:rsidR="00534E3D" w:rsidRPr="0011697A" w:rsidRDefault="00534E3D" w:rsidP="00534E3D">
      <w:pPr>
        <w:rPr>
          <w:rFonts w:ascii="Verdana" w:hAnsi="Verdana"/>
          <w:spacing w:val="-3"/>
        </w:rPr>
      </w:pPr>
    </w:p>
    <w:p w14:paraId="32EAB9DE" w14:textId="77777777" w:rsidR="00534E3D" w:rsidRPr="0011697A" w:rsidRDefault="00534E3D" w:rsidP="00534E3D">
      <w:pPr>
        <w:rPr>
          <w:rFonts w:ascii="Verdana" w:hAnsi="Verdana"/>
          <w:spacing w:val="-3"/>
        </w:rPr>
      </w:pPr>
    </w:p>
    <w:p w14:paraId="71E94818" w14:textId="77777777" w:rsidR="00534E3D" w:rsidRPr="0011697A" w:rsidRDefault="00534E3D" w:rsidP="00534E3D">
      <w:pPr>
        <w:rPr>
          <w:rFonts w:ascii="Verdana" w:hAnsi="Verdana"/>
          <w:spacing w:val="-3"/>
        </w:rPr>
      </w:pPr>
    </w:p>
    <w:p w14:paraId="1D7FC7BE" w14:textId="77777777" w:rsidR="00534E3D" w:rsidRPr="0011697A" w:rsidRDefault="00534E3D" w:rsidP="00534E3D">
      <w:pPr>
        <w:rPr>
          <w:rFonts w:ascii="Verdana" w:hAnsi="Verdana"/>
          <w:spacing w:val="-3"/>
        </w:rPr>
      </w:pPr>
    </w:p>
    <w:p w14:paraId="4A1E83CA" w14:textId="77777777" w:rsidR="00534E3D" w:rsidRPr="0011697A" w:rsidRDefault="00534E3D" w:rsidP="00534E3D">
      <w:pPr>
        <w:rPr>
          <w:rFonts w:ascii="Verdana" w:hAnsi="Verdana"/>
          <w:spacing w:val="-3"/>
        </w:rPr>
      </w:pPr>
    </w:p>
    <w:p w14:paraId="0FB2A5F7" w14:textId="77777777" w:rsidR="00534E3D" w:rsidRPr="0011697A" w:rsidRDefault="00534E3D" w:rsidP="00534E3D">
      <w:pPr>
        <w:rPr>
          <w:rFonts w:ascii="Verdana" w:hAnsi="Verdana"/>
          <w:spacing w:val="-3"/>
        </w:rPr>
      </w:pPr>
    </w:p>
    <w:p w14:paraId="5395B671" w14:textId="77777777" w:rsidR="00534E3D" w:rsidRPr="0011697A" w:rsidRDefault="00534E3D" w:rsidP="00534E3D">
      <w:pPr>
        <w:rPr>
          <w:rFonts w:ascii="Verdana" w:hAnsi="Verdana"/>
          <w:spacing w:val="-3"/>
        </w:rPr>
      </w:pPr>
      <w:r>
        <w:rPr>
          <w:rFonts w:ascii="Verdana" w:hAnsi="Verdana"/>
          <w:spacing w:val="-3"/>
        </w:rPr>
        <w:br w:type="page"/>
      </w:r>
    </w:p>
    <w:p w14:paraId="41F72042" w14:textId="77777777" w:rsidR="004A76A0" w:rsidRPr="004376CF" w:rsidRDefault="001254B0">
      <w:pPr>
        <w:pStyle w:val="TOC1"/>
        <w:rPr>
          <w:noProof/>
          <w:sz w:val="20"/>
          <w:szCs w:val="20"/>
        </w:rPr>
      </w:pPr>
      <w:r>
        <w:rPr>
          <w:noProof/>
          <w:spacing w:val="-3"/>
        </w:rPr>
        <w:lastRenderedPageBreak/>
        <mc:AlternateContent>
          <mc:Choice Requires="wps">
            <w:drawing>
              <wp:anchor distT="0" distB="0" distL="114300" distR="114300" simplePos="0" relativeHeight="251663360" behindDoc="0" locked="0" layoutInCell="0" allowOverlap="1" wp14:anchorId="1E78FEF4" wp14:editId="22D9A099">
                <wp:simplePos x="0" y="0"/>
                <wp:positionH relativeFrom="column">
                  <wp:posOffset>847725</wp:posOffset>
                </wp:positionH>
                <wp:positionV relativeFrom="paragraph">
                  <wp:posOffset>123825</wp:posOffset>
                </wp:positionV>
                <wp:extent cx="4181475" cy="619125"/>
                <wp:effectExtent l="0" t="0" r="0" b="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E1539" w14:textId="77777777" w:rsidR="004B53EA" w:rsidRDefault="004B53EA" w:rsidP="00534E3D">
                            <w:pPr>
                              <w:ind w:left="720" w:firstLine="720"/>
                              <w:rPr>
                                <w:rFonts w:ascii="Century Gothic" w:hAnsi="Century Gothic"/>
                                <w:b/>
                                <w:color w:val="FFFFFF"/>
                                <w:sz w:val="44"/>
                              </w:rPr>
                            </w:pPr>
                            <w:r>
                              <w:rPr>
                                <w:rFonts w:ascii="Century Gothic" w:hAnsi="Century Gothic"/>
                                <w:b/>
                                <w:color w:val="FFFFFF"/>
                                <w:sz w:val="44"/>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6.75pt;margin-top:9.75pt;width:329.2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6N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" o:allowincell="f" filled="f" stroked="f">
                <v:textbox>
                  <w:txbxContent>
                    <w:p w14:paraId="703E1539" w14:textId="77777777" w:rsidR="004B53EA" w:rsidRDefault="004B53EA" w:rsidP="00534E3D">
                      <w:pPr>
                        <w:ind w:left="720" w:firstLine="720"/>
                        <w:rPr>
                          <w:rFonts w:ascii="Century Gothic" w:hAnsi="Century Gothic"/>
                          <w:b/>
                          <w:color w:val="FFFFFF"/>
                          <w:sz w:val="44"/>
                        </w:rPr>
                      </w:pPr>
                      <w:r>
                        <w:rPr>
                          <w:rFonts w:ascii="Century Gothic" w:hAnsi="Century Gothic"/>
                          <w:b/>
                          <w:color w:val="FFFFFF"/>
                          <w:sz w:val="44"/>
                        </w:rPr>
                        <w:t>Contents</w:t>
                      </w:r>
                    </w:p>
                  </w:txbxContent>
                </v:textbox>
              </v:shape>
            </w:pict>
          </mc:Fallback>
        </mc:AlternateContent>
      </w:r>
      <w:r w:rsidR="00534E3D">
        <w:rPr>
          <w:noProof/>
          <w:spacing w:val="-3"/>
        </w:rPr>
        <w:drawing>
          <wp:inline distT="0" distB="0" distL="0" distR="0" wp14:anchorId="11F2E2C7" wp14:editId="2DF2B3ED">
            <wp:extent cx="5943600" cy="767715"/>
            <wp:effectExtent l="19050" t="0" r="0" b="0"/>
            <wp:docPr id="2"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0" cstate="print"/>
                    <a:srcRect/>
                    <a:stretch>
                      <a:fillRect/>
                    </a:stretch>
                  </pic:blipFill>
                  <pic:spPr bwMode="auto">
                    <a:xfrm>
                      <a:off x="0" y="0"/>
                      <a:ext cx="5943600" cy="767715"/>
                    </a:xfrm>
                    <a:prstGeom prst="rect">
                      <a:avLst/>
                    </a:prstGeom>
                    <a:noFill/>
                    <a:ln w="9525">
                      <a:noFill/>
                      <a:miter lim="800000"/>
                      <a:headEnd/>
                      <a:tailEnd/>
                    </a:ln>
                  </pic:spPr>
                </pic:pic>
              </a:graphicData>
            </a:graphic>
          </wp:inline>
        </w:drawing>
      </w:r>
      <w:r w:rsidR="009539CB" w:rsidRPr="004376CF">
        <w:rPr>
          <w:b w:val="0"/>
          <w:sz w:val="20"/>
          <w:szCs w:val="20"/>
        </w:rPr>
        <w:fldChar w:fldCharType="begin"/>
      </w:r>
      <w:r w:rsidR="005428FF" w:rsidRPr="004376CF">
        <w:rPr>
          <w:b w:val="0"/>
          <w:sz w:val="20"/>
          <w:szCs w:val="20"/>
        </w:rPr>
        <w:instrText xml:space="preserve"> TOC \o "1-3" \h \z \u </w:instrText>
      </w:r>
      <w:r w:rsidR="009539CB" w:rsidRPr="004376CF">
        <w:rPr>
          <w:b w:val="0"/>
          <w:sz w:val="20"/>
          <w:szCs w:val="20"/>
        </w:rPr>
        <w:fldChar w:fldCharType="separate"/>
      </w:r>
    </w:p>
    <w:p w14:paraId="409D6DB3" w14:textId="065CD2CB" w:rsidR="004A76A0" w:rsidRPr="004376CF" w:rsidRDefault="004B53EA">
      <w:pPr>
        <w:pStyle w:val="TOC1"/>
        <w:rPr>
          <w:rFonts w:asciiTheme="minorHAnsi" w:eastAsiaTheme="minorEastAsia" w:hAnsiTheme="minorHAnsi" w:cstheme="minorBidi"/>
          <w:b w:val="0"/>
          <w:noProof/>
          <w:color w:val="auto"/>
          <w:sz w:val="20"/>
          <w:szCs w:val="20"/>
        </w:rPr>
      </w:pPr>
      <w:hyperlink w:anchor="_Toc14262267" w:history="1">
        <w:r w:rsidR="004A76A0" w:rsidRPr="004376CF">
          <w:rPr>
            <w:rStyle w:val="Hyperlink"/>
            <w:noProof/>
            <w:sz w:val="20"/>
            <w:szCs w:val="20"/>
          </w:rPr>
          <w:t>Executive Summary</w:t>
        </w:r>
        <w:r w:rsidR="004A76A0" w:rsidRPr="004376CF">
          <w:rPr>
            <w:noProof/>
            <w:webHidden/>
            <w:sz w:val="20"/>
            <w:szCs w:val="20"/>
          </w:rPr>
          <w:tab/>
        </w:r>
        <w:r w:rsidR="004A76A0" w:rsidRPr="004376CF">
          <w:rPr>
            <w:noProof/>
            <w:webHidden/>
            <w:sz w:val="20"/>
            <w:szCs w:val="20"/>
          </w:rPr>
          <w:fldChar w:fldCharType="begin"/>
        </w:r>
        <w:r w:rsidR="004A76A0" w:rsidRPr="004376CF">
          <w:rPr>
            <w:noProof/>
            <w:webHidden/>
            <w:sz w:val="20"/>
            <w:szCs w:val="20"/>
          </w:rPr>
          <w:instrText xml:space="preserve"> PAGEREF _Toc14262267 \h </w:instrText>
        </w:r>
        <w:r w:rsidR="004A76A0" w:rsidRPr="004376CF">
          <w:rPr>
            <w:noProof/>
            <w:webHidden/>
            <w:sz w:val="20"/>
            <w:szCs w:val="20"/>
          </w:rPr>
        </w:r>
        <w:r w:rsidR="004A76A0" w:rsidRPr="004376CF">
          <w:rPr>
            <w:noProof/>
            <w:webHidden/>
            <w:sz w:val="20"/>
            <w:szCs w:val="20"/>
          </w:rPr>
          <w:fldChar w:fldCharType="separate"/>
        </w:r>
        <w:r>
          <w:rPr>
            <w:noProof/>
            <w:webHidden/>
            <w:sz w:val="20"/>
            <w:szCs w:val="20"/>
          </w:rPr>
          <w:t>4</w:t>
        </w:r>
        <w:r w:rsidR="004A76A0" w:rsidRPr="004376CF">
          <w:rPr>
            <w:noProof/>
            <w:webHidden/>
            <w:sz w:val="20"/>
            <w:szCs w:val="20"/>
          </w:rPr>
          <w:fldChar w:fldCharType="end"/>
        </w:r>
      </w:hyperlink>
    </w:p>
    <w:p w14:paraId="7286512E" w14:textId="663764DB" w:rsidR="004A76A0" w:rsidRPr="004376CF" w:rsidRDefault="004B53EA">
      <w:pPr>
        <w:pStyle w:val="TOC1"/>
        <w:rPr>
          <w:rFonts w:asciiTheme="minorHAnsi" w:eastAsiaTheme="minorEastAsia" w:hAnsiTheme="minorHAnsi" w:cstheme="minorBidi"/>
          <w:b w:val="0"/>
          <w:noProof/>
          <w:color w:val="auto"/>
          <w:sz w:val="20"/>
          <w:szCs w:val="20"/>
        </w:rPr>
      </w:pPr>
      <w:hyperlink w:anchor="_Toc14262268" w:history="1">
        <w:r w:rsidR="004A76A0" w:rsidRPr="004376CF">
          <w:rPr>
            <w:rStyle w:val="Hyperlink"/>
            <w:noProof/>
            <w:sz w:val="20"/>
            <w:szCs w:val="20"/>
          </w:rPr>
          <w:t>2018 Annual Information Security Report</w:t>
        </w:r>
        <w:r w:rsidR="004A76A0" w:rsidRPr="004376CF">
          <w:rPr>
            <w:noProof/>
            <w:webHidden/>
            <w:sz w:val="20"/>
            <w:szCs w:val="20"/>
          </w:rPr>
          <w:tab/>
        </w:r>
        <w:r w:rsidR="004A76A0" w:rsidRPr="004376CF">
          <w:rPr>
            <w:noProof/>
            <w:webHidden/>
            <w:sz w:val="20"/>
            <w:szCs w:val="20"/>
          </w:rPr>
          <w:fldChar w:fldCharType="begin"/>
        </w:r>
        <w:r w:rsidR="004A76A0" w:rsidRPr="004376CF">
          <w:rPr>
            <w:noProof/>
            <w:webHidden/>
            <w:sz w:val="20"/>
            <w:szCs w:val="20"/>
          </w:rPr>
          <w:instrText xml:space="preserve"> PAGEREF _Toc14262268 \h </w:instrText>
        </w:r>
        <w:r w:rsidR="004A76A0" w:rsidRPr="004376CF">
          <w:rPr>
            <w:noProof/>
            <w:webHidden/>
            <w:sz w:val="20"/>
            <w:szCs w:val="20"/>
          </w:rPr>
        </w:r>
        <w:r w:rsidR="004A76A0" w:rsidRPr="004376CF">
          <w:rPr>
            <w:noProof/>
            <w:webHidden/>
            <w:sz w:val="20"/>
            <w:szCs w:val="20"/>
          </w:rPr>
          <w:fldChar w:fldCharType="separate"/>
        </w:r>
        <w:r>
          <w:rPr>
            <w:noProof/>
            <w:webHidden/>
            <w:sz w:val="20"/>
            <w:szCs w:val="20"/>
          </w:rPr>
          <w:t>8</w:t>
        </w:r>
        <w:r w:rsidR="004A76A0" w:rsidRPr="004376CF">
          <w:rPr>
            <w:noProof/>
            <w:webHidden/>
            <w:sz w:val="20"/>
            <w:szCs w:val="20"/>
          </w:rPr>
          <w:fldChar w:fldCharType="end"/>
        </w:r>
      </w:hyperlink>
    </w:p>
    <w:p w14:paraId="25E533CB" w14:textId="302C988C" w:rsidR="004A76A0" w:rsidRPr="004376CF" w:rsidRDefault="004B53EA">
      <w:pPr>
        <w:pStyle w:val="TOC1"/>
        <w:rPr>
          <w:rFonts w:asciiTheme="minorHAnsi" w:eastAsiaTheme="minorEastAsia" w:hAnsiTheme="minorHAnsi" w:cstheme="minorBidi"/>
          <w:b w:val="0"/>
          <w:noProof/>
          <w:color w:val="auto"/>
          <w:sz w:val="20"/>
          <w:szCs w:val="20"/>
        </w:rPr>
      </w:pPr>
      <w:hyperlink w:anchor="_Toc14262269" w:history="1">
        <w:r w:rsidR="004A76A0" w:rsidRPr="004376CF">
          <w:rPr>
            <w:rStyle w:val="Hyperlink"/>
            <w:noProof/>
            <w:sz w:val="20"/>
            <w:szCs w:val="20"/>
          </w:rPr>
          <w:t>Commonwealth Threat Management Program</w:t>
        </w:r>
        <w:r w:rsidR="004A76A0" w:rsidRPr="004376CF">
          <w:rPr>
            <w:noProof/>
            <w:webHidden/>
            <w:sz w:val="20"/>
            <w:szCs w:val="20"/>
          </w:rPr>
          <w:tab/>
        </w:r>
        <w:r w:rsidR="004A76A0" w:rsidRPr="004376CF">
          <w:rPr>
            <w:noProof/>
            <w:webHidden/>
            <w:sz w:val="20"/>
            <w:szCs w:val="20"/>
          </w:rPr>
          <w:fldChar w:fldCharType="begin"/>
        </w:r>
        <w:r w:rsidR="004A76A0" w:rsidRPr="004376CF">
          <w:rPr>
            <w:noProof/>
            <w:webHidden/>
            <w:sz w:val="20"/>
            <w:szCs w:val="20"/>
          </w:rPr>
          <w:instrText xml:space="preserve"> PAGEREF _Toc14262269 \h </w:instrText>
        </w:r>
        <w:r w:rsidR="004A76A0" w:rsidRPr="004376CF">
          <w:rPr>
            <w:noProof/>
            <w:webHidden/>
            <w:sz w:val="20"/>
            <w:szCs w:val="20"/>
          </w:rPr>
        </w:r>
        <w:r w:rsidR="004A76A0" w:rsidRPr="004376CF">
          <w:rPr>
            <w:noProof/>
            <w:webHidden/>
            <w:sz w:val="20"/>
            <w:szCs w:val="20"/>
          </w:rPr>
          <w:fldChar w:fldCharType="separate"/>
        </w:r>
        <w:r>
          <w:rPr>
            <w:noProof/>
            <w:webHidden/>
            <w:sz w:val="20"/>
            <w:szCs w:val="20"/>
          </w:rPr>
          <w:t>8</w:t>
        </w:r>
        <w:r w:rsidR="004A76A0" w:rsidRPr="004376CF">
          <w:rPr>
            <w:noProof/>
            <w:webHidden/>
            <w:sz w:val="20"/>
            <w:szCs w:val="20"/>
          </w:rPr>
          <w:fldChar w:fldCharType="end"/>
        </w:r>
      </w:hyperlink>
    </w:p>
    <w:p w14:paraId="6500C3BE" w14:textId="2175D41A" w:rsidR="004A76A0" w:rsidRPr="004376CF" w:rsidRDefault="004B53EA">
      <w:pPr>
        <w:pStyle w:val="TOC2"/>
        <w:rPr>
          <w:rFonts w:asciiTheme="minorHAnsi" w:eastAsiaTheme="minorEastAsia" w:hAnsiTheme="minorHAnsi" w:cstheme="minorBidi"/>
          <w:color w:val="auto"/>
          <w:sz w:val="20"/>
          <w:szCs w:val="20"/>
        </w:rPr>
      </w:pPr>
      <w:hyperlink w:anchor="_Toc14262270" w:history="1">
        <w:r w:rsidR="004A76A0" w:rsidRPr="004376CF">
          <w:rPr>
            <w:rStyle w:val="Hyperlink"/>
            <w:rFonts w:eastAsiaTheme="minorHAnsi"/>
            <w:sz w:val="20"/>
            <w:szCs w:val="20"/>
          </w:rPr>
          <w:t>Commonwealth Cyber Threat and Attack Analysis</w:t>
        </w:r>
        <w:r w:rsidR="004A76A0" w:rsidRPr="004376CF">
          <w:rPr>
            <w:webHidden/>
            <w:sz w:val="20"/>
            <w:szCs w:val="20"/>
          </w:rPr>
          <w:tab/>
        </w:r>
        <w:r w:rsidR="004A76A0" w:rsidRPr="004376CF">
          <w:rPr>
            <w:webHidden/>
            <w:sz w:val="20"/>
            <w:szCs w:val="20"/>
          </w:rPr>
          <w:fldChar w:fldCharType="begin"/>
        </w:r>
        <w:r w:rsidR="004A76A0" w:rsidRPr="004376CF">
          <w:rPr>
            <w:webHidden/>
            <w:sz w:val="20"/>
            <w:szCs w:val="20"/>
          </w:rPr>
          <w:instrText xml:space="preserve"> PAGEREF _Toc14262270 \h </w:instrText>
        </w:r>
        <w:r w:rsidR="004A76A0" w:rsidRPr="004376CF">
          <w:rPr>
            <w:webHidden/>
            <w:sz w:val="20"/>
            <w:szCs w:val="20"/>
          </w:rPr>
        </w:r>
        <w:r w:rsidR="004A76A0" w:rsidRPr="004376CF">
          <w:rPr>
            <w:webHidden/>
            <w:sz w:val="20"/>
            <w:szCs w:val="20"/>
          </w:rPr>
          <w:fldChar w:fldCharType="separate"/>
        </w:r>
        <w:r>
          <w:rPr>
            <w:webHidden/>
            <w:sz w:val="20"/>
            <w:szCs w:val="20"/>
          </w:rPr>
          <w:t>8</w:t>
        </w:r>
        <w:r w:rsidR="004A76A0" w:rsidRPr="004376CF">
          <w:rPr>
            <w:webHidden/>
            <w:sz w:val="20"/>
            <w:szCs w:val="20"/>
          </w:rPr>
          <w:fldChar w:fldCharType="end"/>
        </w:r>
      </w:hyperlink>
    </w:p>
    <w:p w14:paraId="6962376C" w14:textId="566454AE" w:rsidR="004A76A0" w:rsidRPr="004376CF" w:rsidRDefault="004B53EA">
      <w:pPr>
        <w:pStyle w:val="TOC2"/>
        <w:rPr>
          <w:rFonts w:asciiTheme="minorHAnsi" w:eastAsiaTheme="minorEastAsia" w:hAnsiTheme="minorHAnsi" w:cstheme="minorBidi"/>
          <w:color w:val="auto"/>
          <w:sz w:val="20"/>
          <w:szCs w:val="20"/>
        </w:rPr>
      </w:pPr>
      <w:hyperlink w:anchor="_Toc14262271" w:history="1">
        <w:r w:rsidR="004A76A0" w:rsidRPr="004376CF">
          <w:rPr>
            <w:rStyle w:val="Hyperlink"/>
            <w:rFonts w:eastAsiaTheme="minorHAnsi"/>
            <w:sz w:val="20"/>
            <w:szCs w:val="20"/>
          </w:rPr>
          <w:t>Incident trends by category</w:t>
        </w:r>
        <w:r w:rsidR="004A76A0" w:rsidRPr="004376CF">
          <w:rPr>
            <w:webHidden/>
            <w:sz w:val="20"/>
            <w:szCs w:val="20"/>
          </w:rPr>
          <w:tab/>
        </w:r>
        <w:r w:rsidR="004A76A0" w:rsidRPr="004376CF">
          <w:rPr>
            <w:webHidden/>
            <w:sz w:val="20"/>
            <w:szCs w:val="20"/>
          </w:rPr>
          <w:fldChar w:fldCharType="begin"/>
        </w:r>
        <w:r w:rsidR="004A76A0" w:rsidRPr="004376CF">
          <w:rPr>
            <w:webHidden/>
            <w:sz w:val="20"/>
            <w:szCs w:val="20"/>
          </w:rPr>
          <w:instrText xml:space="preserve"> PAGEREF _Toc14262271 \h </w:instrText>
        </w:r>
        <w:r w:rsidR="004A76A0" w:rsidRPr="004376CF">
          <w:rPr>
            <w:webHidden/>
            <w:sz w:val="20"/>
            <w:szCs w:val="20"/>
          </w:rPr>
        </w:r>
        <w:r w:rsidR="004A76A0" w:rsidRPr="004376CF">
          <w:rPr>
            <w:webHidden/>
            <w:sz w:val="20"/>
            <w:szCs w:val="20"/>
          </w:rPr>
          <w:fldChar w:fldCharType="separate"/>
        </w:r>
        <w:r>
          <w:rPr>
            <w:webHidden/>
            <w:sz w:val="20"/>
            <w:szCs w:val="20"/>
          </w:rPr>
          <w:t>12</w:t>
        </w:r>
        <w:r w:rsidR="004A76A0" w:rsidRPr="004376CF">
          <w:rPr>
            <w:webHidden/>
            <w:sz w:val="20"/>
            <w:szCs w:val="20"/>
          </w:rPr>
          <w:fldChar w:fldCharType="end"/>
        </w:r>
      </w:hyperlink>
    </w:p>
    <w:p w14:paraId="77F51D8C" w14:textId="76250E61" w:rsidR="004A76A0" w:rsidRPr="004376CF" w:rsidRDefault="004B53EA">
      <w:pPr>
        <w:pStyle w:val="TOC2"/>
        <w:rPr>
          <w:rFonts w:asciiTheme="minorHAnsi" w:eastAsiaTheme="minorEastAsia" w:hAnsiTheme="minorHAnsi" w:cstheme="minorBidi"/>
          <w:color w:val="auto"/>
          <w:sz w:val="20"/>
          <w:szCs w:val="20"/>
        </w:rPr>
      </w:pPr>
      <w:hyperlink w:anchor="_Toc14262272" w:history="1">
        <w:r w:rsidR="004A76A0" w:rsidRPr="004376CF">
          <w:rPr>
            <w:rStyle w:val="Hyperlink"/>
            <w:rFonts w:eastAsiaTheme="minorHAnsi"/>
            <w:sz w:val="20"/>
            <w:szCs w:val="20"/>
          </w:rPr>
          <w:t>Cyber Intelligence from Commonwealth Partners</w:t>
        </w:r>
        <w:r w:rsidR="004A76A0" w:rsidRPr="004376CF">
          <w:rPr>
            <w:webHidden/>
            <w:sz w:val="20"/>
            <w:szCs w:val="20"/>
          </w:rPr>
          <w:tab/>
        </w:r>
        <w:r w:rsidR="004A76A0" w:rsidRPr="004376CF">
          <w:rPr>
            <w:webHidden/>
            <w:sz w:val="20"/>
            <w:szCs w:val="20"/>
          </w:rPr>
          <w:fldChar w:fldCharType="begin"/>
        </w:r>
        <w:r w:rsidR="004A76A0" w:rsidRPr="004376CF">
          <w:rPr>
            <w:webHidden/>
            <w:sz w:val="20"/>
            <w:szCs w:val="20"/>
          </w:rPr>
          <w:instrText xml:space="preserve"> PAGEREF _Toc14262272 \h </w:instrText>
        </w:r>
        <w:r w:rsidR="004A76A0" w:rsidRPr="004376CF">
          <w:rPr>
            <w:webHidden/>
            <w:sz w:val="20"/>
            <w:szCs w:val="20"/>
          </w:rPr>
        </w:r>
        <w:r w:rsidR="004A76A0" w:rsidRPr="004376CF">
          <w:rPr>
            <w:webHidden/>
            <w:sz w:val="20"/>
            <w:szCs w:val="20"/>
          </w:rPr>
          <w:fldChar w:fldCharType="separate"/>
        </w:r>
        <w:r>
          <w:rPr>
            <w:webHidden/>
            <w:sz w:val="20"/>
            <w:szCs w:val="20"/>
          </w:rPr>
          <w:t>15</w:t>
        </w:r>
        <w:r w:rsidR="004A76A0" w:rsidRPr="004376CF">
          <w:rPr>
            <w:webHidden/>
            <w:sz w:val="20"/>
            <w:szCs w:val="20"/>
          </w:rPr>
          <w:fldChar w:fldCharType="end"/>
        </w:r>
      </w:hyperlink>
    </w:p>
    <w:p w14:paraId="117B729B" w14:textId="51F622A0" w:rsidR="004A76A0" w:rsidRPr="004376CF" w:rsidRDefault="004B53EA">
      <w:pPr>
        <w:pStyle w:val="TOC2"/>
        <w:rPr>
          <w:rFonts w:asciiTheme="minorHAnsi" w:eastAsiaTheme="minorEastAsia" w:hAnsiTheme="minorHAnsi" w:cstheme="minorBidi"/>
          <w:color w:val="auto"/>
          <w:sz w:val="20"/>
          <w:szCs w:val="20"/>
        </w:rPr>
      </w:pPr>
      <w:hyperlink w:anchor="_Toc14262273" w:history="1">
        <w:r w:rsidR="004A76A0" w:rsidRPr="004376CF">
          <w:rPr>
            <w:rStyle w:val="Hyperlink"/>
            <w:sz w:val="20"/>
            <w:szCs w:val="20"/>
          </w:rPr>
          <w:t>Security investigations by category</w:t>
        </w:r>
        <w:r w:rsidR="004A76A0" w:rsidRPr="004376CF">
          <w:rPr>
            <w:webHidden/>
            <w:sz w:val="20"/>
            <w:szCs w:val="20"/>
          </w:rPr>
          <w:tab/>
        </w:r>
        <w:r w:rsidR="004A76A0" w:rsidRPr="004376CF">
          <w:rPr>
            <w:webHidden/>
            <w:sz w:val="20"/>
            <w:szCs w:val="20"/>
          </w:rPr>
          <w:fldChar w:fldCharType="begin"/>
        </w:r>
        <w:r w:rsidR="004A76A0" w:rsidRPr="004376CF">
          <w:rPr>
            <w:webHidden/>
            <w:sz w:val="20"/>
            <w:szCs w:val="20"/>
          </w:rPr>
          <w:instrText xml:space="preserve"> PAGEREF _Toc14262273 \h </w:instrText>
        </w:r>
        <w:r w:rsidR="004A76A0" w:rsidRPr="004376CF">
          <w:rPr>
            <w:webHidden/>
            <w:sz w:val="20"/>
            <w:szCs w:val="20"/>
          </w:rPr>
        </w:r>
        <w:r w:rsidR="004A76A0" w:rsidRPr="004376CF">
          <w:rPr>
            <w:webHidden/>
            <w:sz w:val="20"/>
            <w:szCs w:val="20"/>
          </w:rPr>
          <w:fldChar w:fldCharType="separate"/>
        </w:r>
        <w:r>
          <w:rPr>
            <w:webHidden/>
            <w:sz w:val="20"/>
            <w:szCs w:val="20"/>
          </w:rPr>
          <w:t>16</w:t>
        </w:r>
        <w:r w:rsidR="004A76A0" w:rsidRPr="004376CF">
          <w:rPr>
            <w:webHidden/>
            <w:sz w:val="20"/>
            <w:szCs w:val="20"/>
          </w:rPr>
          <w:fldChar w:fldCharType="end"/>
        </w:r>
      </w:hyperlink>
    </w:p>
    <w:p w14:paraId="47E8699E" w14:textId="5CA700C4" w:rsidR="004A76A0" w:rsidRPr="004376CF" w:rsidRDefault="004B53EA">
      <w:pPr>
        <w:pStyle w:val="TOC1"/>
        <w:rPr>
          <w:rFonts w:asciiTheme="minorHAnsi" w:eastAsiaTheme="minorEastAsia" w:hAnsiTheme="minorHAnsi" w:cstheme="minorBidi"/>
          <w:b w:val="0"/>
          <w:noProof/>
          <w:color w:val="auto"/>
          <w:sz w:val="20"/>
          <w:szCs w:val="20"/>
        </w:rPr>
      </w:pPr>
      <w:hyperlink w:anchor="_Toc14262274" w:history="1">
        <w:r w:rsidR="004A76A0" w:rsidRPr="004376CF">
          <w:rPr>
            <w:rStyle w:val="Hyperlink"/>
            <w:noProof/>
            <w:sz w:val="20"/>
            <w:szCs w:val="20"/>
          </w:rPr>
          <w:t>CSRM Security Services Center</w:t>
        </w:r>
        <w:r w:rsidR="004A76A0" w:rsidRPr="004376CF">
          <w:rPr>
            <w:noProof/>
            <w:webHidden/>
            <w:sz w:val="20"/>
            <w:szCs w:val="20"/>
          </w:rPr>
          <w:tab/>
        </w:r>
        <w:r w:rsidR="004A76A0" w:rsidRPr="004376CF">
          <w:rPr>
            <w:noProof/>
            <w:webHidden/>
            <w:sz w:val="20"/>
            <w:szCs w:val="20"/>
          </w:rPr>
          <w:fldChar w:fldCharType="begin"/>
        </w:r>
        <w:r w:rsidR="004A76A0" w:rsidRPr="004376CF">
          <w:rPr>
            <w:noProof/>
            <w:webHidden/>
            <w:sz w:val="20"/>
            <w:szCs w:val="20"/>
          </w:rPr>
          <w:instrText xml:space="preserve"> PAGEREF _Toc14262274 \h </w:instrText>
        </w:r>
        <w:r w:rsidR="004A76A0" w:rsidRPr="004376CF">
          <w:rPr>
            <w:noProof/>
            <w:webHidden/>
            <w:sz w:val="20"/>
            <w:szCs w:val="20"/>
          </w:rPr>
        </w:r>
        <w:r w:rsidR="004A76A0" w:rsidRPr="004376CF">
          <w:rPr>
            <w:noProof/>
            <w:webHidden/>
            <w:sz w:val="20"/>
            <w:szCs w:val="20"/>
          </w:rPr>
          <w:fldChar w:fldCharType="separate"/>
        </w:r>
        <w:r>
          <w:rPr>
            <w:noProof/>
            <w:webHidden/>
            <w:sz w:val="20"/>
            <w:szCs w:val="20"/>
          </w:rPr>
          <w:t>17</w:t>
        </w:r>
        <w:r w:rsidR="004A76A0" w:rsidRPr="004376CF">
          <w:rPr>
            <w:noProof/>
            <w:webHidden/>
            <w:sz w:val="20"/>
            <w:szCs w:val="20"/>
          </w:rPr>
          <w:fldChar w:fldCharType="end"/>
        </w:r>
      </w:hyperlink>
    </w:p>
    <w:p w14:paraId="3A28ACEA" w14:textId="495E9CA2" w:rsidR="004A76A0" w:rsidRPr="004376CF" w:rsidRDefault="004B53EA">
      <w:pPr>
        <w:pStyle w:val="TOC2"/>
        <w:rPr>
          <w:rFonts w:asciiTheme="minorHAnsi" w:eastAsiaTheme="minorEastAsia" w:hAnsiTheme="minorHAnsi" w:cstheme="minorBidi"/>
          <w:color w:val="auto"/>
          <w:sz w:val="20"/>
          <w:szCs w:val="20"/>
        </w:rPr>
      </w:pPr>
      <w:hyperlink w:anchor="_Toc14262275" w:history="1">
        <w:r w:rsidR="004A76A0" w:rsidRPr="004376CF">
          <w:rPr>
            <w:rStyle w:val="Hyperlink"/>
            <w:sz w:val="20"/>
            <w:szCs w:val="20"/>
          </w:rPr>
          <w:t>Centralized IT security audit services</w:t>
        </w:r>
        <w:r w:rsidR="004A76A0" w:rsidRPr="004376CF">
          <w:rPr>
            <w:webHidden/>
            <w:sz w:val="20"/>
            <w:szCs w:val="20"/>
          </w:rPr>
          <w:tab/>
        </w:r>
        <w:r w:rsidR="004A76A0" w:rsidRPr="004376CF">
          <w:rPr>
            <w:webHidden/>
            <w:sz w:val="20"/>
            <w:szCs w:val="20"/>
          </w:rPr>
          <w:fldChar w:fldCharType="begin"/>
        </w:r>
        <w:r w:rsidR="004A76A0" w:rsidRPr="004376CF">
          <w:rPr>
            <w:webHidden/>
            <w:sz w:val="20"/>
            <w:szCs w:val="20"/>
          </w:rPr>
          <w:instrText xml:space="preserve"> PAGEREF _Toc14262275 \h </w:instrText>
        </w:r>
        <w:r w:rsidR="004A76A0" w:rsidRPr="004376CF">
          <w:rPr>
            <w:webHidden/>
            <w:sz w:val="20"/>
            <w:szCs w:val="20"/>
          </w:rPr>
        </w:r>
        <w:r w:rsidR="004A76A0" w:rsidRPr="004376CF">
          <w:rPr>
            <w:webHidden/>
            <w:sz w:val="20"/>
            <w:szCs w:val="20"/>
          </w:rPr>
          <w:fldChar w:fldCharType="separate"/>
        </w:r>
        <w:r>
          <w:rPr>
            <w:webHidden/>
            <w:sz w:val="20"/>
            <w:szCs w:val="20"/>
          </w:rPr>
          <w:t>17</w:t>
        </w:r>
        <w:r w:rsidR="004A76A0" w:rsidRPr="004376CF">
          <w:rPr>
            <w:webHidden/>
            <w:sz w:val="20"/>
            <w:szCs w:val="20"/>
          </w:rPr>
          <w:fldChar w:fldCharType="end"/>
        </w:r>
      </w:hyperlink>
    </w:p>
    <w:p w14:paraId="457E50AB" w14:textId="1C52E47B" w:rsidR="004A76A0" w:rsidRPr="004376CF" w:rsidRDefault="004B53EA">
      <w:pPr>
        <w:pStyle w:val="TOC2"/>
        <w:rPr>
          <w:rFonts w:asciiTheme="minorHAnsi" w:eastAsiaTheme="minorEastAsia" w:hAnsiTheme="minorHAnsi" w:cstheme="minorBidi"/>
          <w:color w:val="auto"/>
          <w:sz w:val="20"/>
          <w:szCs w:val="20"/>
        </w:rPr>
      </w:pPr>
      <w:hyperlink w:anchor="_Toc14262276" w:history="1">
        <w:r w:rsidR="004A76A0" w:rsidRPr="004376CF">
          <w:rPr>
            <w:rStyle w:val="Hyperlink"/>
            <w:sz w:val="20"/>
            <w:szCs w:val="20"/>
          </w:rPr>
          <w:t>ISO services</w:t>
        </w:r>
        <w:r w:rsidR="004A76A0" w:rsidRPr="004376CF">
          <w:rPr>
            <w:webHidden/>
            <w:sz w:val="20"/>
            <w:szCs w:val="20"/>
          </w:rPr>
          <w:tab/>
        </w:r>
        <w:r w:rsidR="004A76A0" w:rsidRPr="004376CF">
          <w:rPr>
            <w:webHidden/>
            <w:sz w:val="20"/>
            <w:szCs w:val="20"/>
          </w:rPr>
          <w:fldChar w:fldCharType="begin"/>
        </w:r>
        <w:r w:rsidR="004A76A0" w:rsidRPr="004376CF">
          <w:rPr>
            <w:webHidden/>
            <w:sz w:val="20"/>
            <w:szCs w:val="20"/>
          </w:rPr>
          <w:instrText xml:space="preserve"> PAGEREF _Toc14262276 \h </w:instrText>
        </w:r>
        <w:r w:rsidR="004A76A0" w:rsidRPr="004376CF">
          <w:rPr>
            <w:webHidden/>
            <w:sz w:val="20"/>
            <w:szCs w:val="20"/>
          </w:rPr>
        </w:r>
        <w:r w:rsidR="004A76A0" w:rsidRPr="004376CF">
          <w:rPr>
            <w:webHidden/>
            <w:sz w:val="20"/>
            <w:szCs w:val="20"/>
          </w:rPr>
          <w:fldChar w:fldCharType="separate"/>
        </w:r>
        <w:r>
          <w:rPr>
            <w:webHidden/>
            <w:sz w:val="20"/>
            <w:szCs w:val="20"/>
          </w:rPr>
          <w:t>18</w:t>
        </w:r>
        <w:r w:rsidR="004A76A0" w:rsidRPr="004376CF">
          <w:rPr>
            <w:webHidden/>
            <w:sz w:val="20"/>
            <w:szCs w:val="20"/>
          </w:rPr>
          <w:fldChar w:fldCharType="end"/>
        </w:r>
      </w:hyperlink>
    </w:p>
    <w:p w14:paraId="19E98AC9" w14:textId="63A84096" w:rsidR="004A76A0" w:rsidRPr="004376CF" w:rsidRDefault="004B53EA">
      <w:pPr>
        <w:pStyle w:val="TOC2"/>
        <w:rPr>
          <w:rFonts w:asciiTheme="minorHAnsi" w:eastAsiaTheme="minorEastAsia" w:hAnsiTheme="minorHAnsi" w:cstheme="minorBidi"/>
          <w:color w:val="auto"/>
          <w:sz w:val="20"/>
          <w:szCs w:val="20"/>
        </w:rPr>
      </w:pPr>
      <w:hyperlink w:anchor="_Toc14262277" w:history="1">
        <w:r w:rsidR="004A76A0" w:rsidRPr="004376CF">
          <w:rPr>
            <w:rStyle w:val="Hyperlink"/>
            <w:sz w:val="20"/>
            <w:szCs w:val="20"/>
          </w:rPr>
          <w:t>Web Application Vulnerability Scanning Program</w:t>
        </w:r>
        <w:r w:rsidR="004A76A0" w:rsidRPr="004376CF">
          <w:rPr>
            <w:webHidden/>
            <w:sz w:val="20"/>
            <w:szCs w:val="20"/>
          </w:rPr>
          <w:tab/>
        </w:r>
        <w:r w:rsidR="004A76A0" w:rsidRPr="004376CF">
          <w:rPr>
            <w:webHidden/>
            <w:sz w:val="20"/>
            <w:szCs w:val="20"/>
          </w:rPr>
          <w:fldChar w:fldCharType="begin"/>
        </w:r>
        <w:r w:rsidR="004A76A0" w:rsidRPr="004376CF">
          <w:rPr>
            <w:webHidden/>
            <w:sz w:val="20"/>
            <w:szCs w:val="20"/>
          </w:rPr>
          <w:instrText xml:space="preserve"> PAGEREF _Toc14262277 \h </w:instrText>
        </w:r>
        <w:r w:rsidR="004A76A0" w:rsidRPr="004376CF">
          <w:rPr>
            <w:webHidden/>
            <w:sz w:val="20"/>
            <w:szCs w:val="20"/>
          </w:rPr>
        </w:r>
        <w:r w:rsidR="004A76A0" w:rsidRPr="004376CF">
          <w:rPr>
            <w:webHidden/>
            <w:sz w:val="20"/>
            <w:szCs w:val="20"/>
          </w:rPr>
          <w:fldChar w:fldCharType="separate"/>
        </w:r>
        <w:r>
          <w:rPr>
            <w:webHidden/>
            <w:sz w:val="20"/>
            <w:szCs w:val="20"/>
          </w:rPr>
          <w:t>20</w:t>
        </w:r>
        <w:r w:rsidR="004A76A0" w:rsidRPr="004376CF">
          <w:rPr>
            <w:webHidden/>
            <w:sz w:val="20"/>
            <w:szCs w:val="20"/>
          </w:rPr>
          <w:fldChar w:fldCharType="end"/>
        </w:r>
      </w:hyperlink>
    </w:p>
    <w:p w14:paraId="2F7E129E" w14:textId="6D2002C5" w:rsidR="004A76A0" w:rsidRPr="004376CF" w:rsidRDefault="004B53EA">
      <w:pPr>
        <w:pStyle w:val="TOC1"/>
        <w:rPr>
          <w:rFonts w:asciiTheme="minorHAnsi" w:eastAsiaTheme="minorEastAsia" w:hAnsiTheme="minorHAnsi" w:cstheme="minorBidi"/>
          <w:b w:val="0"/>
          <w:noProof/>
          <w:color w:val="auto"/>
          <w:sz w:val="20"/>
          <w:szCs w:val="20"/>
        </w:rPr>
      </w:pPr>
      <w:hyperlink w:anchor="_Toc14262278" w:history="1">
        <w:r w:rsidR="004A76A0" w:rsidRPr="004376CF">
          <w:rPr>
            <w:rStyle w:val="Hyperlink"/>
            <w:noProof/>
            <w:sz w:val="20"/>
            <w:szCs w:val="20"/>
          </w:rPr>
          <w:t>Commonwealth Information Security Governance Program</w:t>
        </w:r>
        <w:r w:rsidR="004A76A0" w:rsidRPr="004376CF">
          <w:rPr>
            <w:noProof/>
            <w:webHidden/>
            <w:sz w:val="20"/>
            <w:szCs w:val="20"/>
          </w:rPr>
          <w:tab/>
        </w:r>
        <w:r w:rsidR="004A76A0" w:rsidRPr="004376CF">
          <w:rPr>
            <w:noProof/>
            <w:webHidden/>
            <w:sz w:val="20"/>
            <w:szCs w:val="20"/>
          </w:rPr>
          <w:fldChar w:fldCharType="begin"/>
        </w:r>
        <w:r w:rsidR="004A76A0" w:rsidRPr="004376CF">
          <w:rPr>
            <w:noProof/>
            <w:webHidden/>
            <w:sz w:val="20"/>
            <w:szCs w:val="20"/>
          </w:rPr>
          <w:instrText xml:space="preserve"> PAGEREF _Toc14262278 \h </w:instrText>
        </w:r>
        <w:r w:rsidR="004A76A0" w:rsidRPr="004376CF">
          <w:rPr>
            <w:noProof/>
            <w:webHidden/>
            <w:sz w:val="20"/>
            <w:szCs w:val="20"/>
          </w:rPr>
        </w:r>
        <w:r w:rsidR="004A76A0" w:rsidRPr="004376CF">
          <w:rPr>
            <w:noProof/>
            <w:webHidden/>
            <w:sz w:val="20"/>
            <w:szCs w:val="20"/>
          </w:rPr>
          <w:fldChar w:fldCharType="separate"/>
        </w:r>
        <w:r>
          <w:rPr>
            <w:noProof/>
            <w:webHidden/>
            <w:sz w:val="20"/>
            <w:szCs w:val="20"/>
          </w:rPr>
          <w:t>21</w:t>
        </w:r>
        <w:r w:rsidR="004A76A0" w:rsidRPr="004376CF">
          <w:rPr>
            <w:noProof/>
            <w:webHidden/>
            <w:sz w:val="20"/>
            <w:szCs w:val="20"/>
          </w:rPr>
          <w:fldChar w:fldCharType="end"/>
        </w:r>
      </w:hyperlink>
    </w:p>
    <w:p w14:paraId="129D09D3" w14:textId="1649C213" w:rsidR="004A76A0" w:rsidRPr="004376CF" w:rsidRDefault="004B53EA">
      <w:pPr>
        <w:pStyle w:val="TOC2"/>
        <w:rPr>
          <w:rFonts w:asciiTheme="minorHAnsi" w:eastAsiaTheme="minorEastAsia" w:hAnsiTheme="minorHAnsi" w:cstheme="minorBidi"/>
          <w:color w:val="auto"/>
          <w:sz w:val="20"/>
          <w:szCs w:val="20"/>
        </w:rPr>
      </w:pPr>
      <w:hyperlink w:anchor="_Toc14262279" w:history="1">
        <w:r w:rsidR="004A76A0" w:rsidRPr="004376CF">
          <w:rPr>
            <w:rStyle w:val="Hyperlink"/>
            <w:sz w:val="20"/>
            <w:szCs w:val="20"/>
          </w:rPr>
          <w:t>Statute requires compliance monitoring</w:t>
        </w:r>
        <w:r w:rsidR="004A76A0" w:rsidRPr="004376CF">
          <w:rPr>
            <w:webHidden/>
            <w:sz w:val="20"/>
            <w:szCs w:val="20"/>
          </w:rPr>
          <w:tab/>
        </w:r>
        <w:r w:rsidR="004A76A0" w:rsidRPr="004376CF">
          <w:rPr>
            <w:webHidden/>
            <w:sz w:val="20"/>
            <w:szCs w:val="20"/>
          </w:rPr>
          <w:fldChar w:fldCharType="begin"/>
        </w:r>
        <w:r w:rsidR="004A76A0" w:rsidRPr="004376CF">
          <w:rPr>
            <w:webHidden/>
            <w:sz w:val="20"/>
            <w:szCs w:val="20"/>
          </w:rPr>
          <w:instrText xml:space="preserve"> PAGEREF _Toc14262279 \h </w:instrText>
        </w:r>
        <w:r w:rsidR="004A76A0" w:rsidRPr="004376CF">
          <w:rPr>
            <w:webHidden/>
            <w:sz w:val="20"/>
            <w:szCs w:val="20"/>
          </w:rPr>
        </w:r>
        <w:r w:rsidR="004A76A0" w:rsidRPr="004376CF">
          <w:rPr>
            <w:webHidden/>
            <w:sz w:val="20"/>
            <w:szCs w:val="20"/>
          </w:rPr>
          <w:fldChar w:fldCharType="separate"/>
        </w:r>
        <w:r>
          <w:rPr>
            <w:webHidden/>
            <w:sz w:val="20"/>
            <w:szCs w:val="20"/>
          </w:rPr>
          <w:t>21</w:t>
        </w:r>
        <w:r w:rsidR="004A76A0" w:rsidRPr="004376CF">
          <w:rPr>
            <w:webHidden/>
            <w:sz w:val="20"/>
            <w:szCs w:val="20"/>
          </w:rPr>
          <w:fldChar w:fldCharType="end"/>
        </w:r>
      </w:hyperlink>
    </w:p>
    <w:p w14:paraId="2D8E8FA3" w14:textId="33140F43" w:rsidR="004A76A0" w:rsidRPr="004376CF" w:rsidRDefault="004B53EA">
      <w:pPr>
        <w:pStyle w:val="TOC2"/>
        <w:rPr>
          <w:rFonts w:asciiTheme="minorHAnsi" w:eastAsiaTheme="minorEastAsia" w:hAnsiTheme="minorHAnsi" w:cstheme="minorBidi"/>
          <w:color w:val="auto"/>
          <w:sz w:val="20"/>
          <w:szCs w:val="20"/>
        </w:rPr>
      </w:pPr>
      <w:hyperlink w:anchor="_Toc14262280" w:history="1">
        <w:r w:rsidR="004A76A0" w:rsidRPr="004376CF">
          <w:rPr>
            <w:rStyle w:val="Hyperlink"/>
            <w:sz w:val="20"/>
            <w:szCs w:val="20"/>
          </w:rPr>
          <w:t>Audit compliance report card</w:t>
        </w:r>
        <w:r w:rsidR="004A76A0" w:rsidRPr="004376CF">
          <w:rPr>
            <w:webHidden/>
            <w:sz w:val="20"/>
            <w:szCs w:val="20"/>
          </w:rPr>
          <w:tab/>
        </w:r>
        <w:r w:rsidR="004A76A0" w:rsidRPr="004376CF">
          <w:rPr>
            <w:webHidden/>
            <w:sz w:val="20"/>
            <w:szCs w:val="20"/>
          </w:rPr>
          <w:fldChar w:fldCharType="begin"/>
        </w:r>
        <w:r w:rsidR="004A76A0" w:rsidRPr="004376CF">
          <w:rPr>
            <w:webHidden/>
            <w:sz w:val="20"/>
            <w:szCs w:val="20"/>
          </w:rPr>
          <w:instrText xml:space="preserve"> PAGEREF _Toc14262280 \h </w:instrText>
        </w:r>
        <w:r w:rsidR="004A76A0" w:rsidRPr="004376CF">
          <w:rPr>
            <w:webHidden/>
            <w:sz w:val="20"/>
            <w:szCs w:val="20"/>
          </w:rPr>
        </w:r>
        <w:r w:rsidR="004A76A0" w:rsidRPr="004376CF">
          <w:rPr>
            <w:webHidden/>
            <w:sz w:val="20"/>
            <w:szCs w:val="20"/>
          </w:rPr>
          <w:fldChar w:fldCharType="separate"/>
        </w:r>
        <w:r>
          <w:rPr>
            <w:webHidden/>
            <w:sz w:val="20"/>
            <w:szCs w:val="20"/>
          </w:rPr>
          <w:t>21</w:t>
        </w:r>
        <w:r w:rsidR="004A76A0" w:rsidRPr="004376CF">
          <w:rPr>
            <w:webHidden/>
            <w:sz w:val="20"/>
            <w:szCs w:val="20"/>
          </w:rPr>
          <w:fldChar w:fldCharType="end"/>
        </w:r>
      </w:hyperlink>
    </w:p>
    <w:p w14:paraId="51292B98" w14:textId="72E5FE0B" w:rsidR="004A76A0" w:rsidRPr="004376CF" w:rsidRDefault="004B53EA">
      <w:pPr>
        <w:pStyle w:val="TOC2"/>
        <w:rPr>
          <w:rFonts w:asciiTheme="minorHAnsi" w:eastAsiaTheme="minorEastAsia" w:hAnsiTheme="minorHAnsi" w:cstheme="minorBidi"/>
          <w:color w:val="auto"/>
          <w:sz w:val="20"/>
          <w:szCs w:val="20"/>
        </w:rPr>
      </w:pPr>
      <w:hyperlink w:anchor="_Toc14262281" w:history="1">
        <w:r w:rsidR="004A76A0" w:rsidRPr="004376CF">
          <w:rPr>
            <w:rStyle w:val="Hyperlink"/>
            <w:sz w:val="20"/>
            <w:szCs w:val="20"/>
          </w:rPr>
          <w:t>Key commonwealth security audit compliance metrics and analysis</w:t>
        </w:r>
        <w:r w:rsidR="004A76A0" w:rsidRPr="004376CF">
          <w:rPr>
            <w:webHidden/>
            <w:sz w:val="20"/>
            <w:szCs w:val="20"/>
          </w:rPr>
          <w:tab/>
        </w:r>
        <w:r w:rsidR="004A76A0" w:rsidRPr="004376CF">
          <w:rPr>
            <w:webHidden/>
            <w:sz w:val="20"/>
            <w:szCs w:val="20"/>
          </w:rPr>
          <w:fldChar w:fldCharType="begin"/>
        </w:r>
        <w:r w:rsidR="004A76A0" w:rsidRPr="004376CF">
          <w:rPr>
            <w:webHidden/>
            <w:sz w:val="20"/>
            <w:szCs w:val="20"/>
          </w:rPr>
          <w:instrText xml:space="preserve"> PAGEREF _Toc14262281 \h </w:instrText>
        </w:r>
        <w:r w:rsidR="004A76A0" w:rsidRPr="004376CF">
          <w:rPr>
            <w:webHidden/>
            <w:sz w:val="20"/>
            <w:szCs w:val="20"/>
          </w:rPr>
        </w:r>
        <w:r w:rsidR="004A76A0" w:rsidRPr="004376CF">
          <w:rPr>
            <w:webHidden/>
            <w:sz w:val="20"/>
            <w:szCs w:val="20"/>
          </w:rPr>
          <w:fldChar w:fldCharType="separate"/>
        </w:r>
        <w:r>
          <w:rPr>
            <w:webHidden/>
            <w:sz w:val="20"/>
            <w:szCs w:val="20"/>
          </w:rPr>
          <w:t>22</w:t>
        </w:r>
        <w:r w:rsidR="004A76A0" w:rsidRPr="004376CF">
          <w:rPr>
            <w:webHidden/>
            <w:sz w:val="20"/>
            <w:szCs w:val="20"/>
          </w:rPr>
          <w:fldChar w:fldCharType="end"/>
        </w:r>
      </w:hyperlink>
    </w:p>
    <w:p w14:paraId="337A35B8" w14:textId="20E3152D" w:rsidR="004A76A0" w:rsidRPr="004376CF" w:rsidRDefault="004B53EA">
      <w:pPr>
        <w:pStyle w:val="TOC2"/>
        <w:rPr>
          <w:rFonts w:asciiTheme="minorHAnsi" w:eastAsiaTheme="minorEastAsia" w:hAnsiTheme="minorHAnsi" w:cstheme="minorBidi"/>
          <w:color w:val="auto"/>
          <w:sz w:val="20"/>
          <w:szCs w:val="20"/>
        </w:rPr>
      </w:pPr>
      <w:hyperlink w:anchor="_Toc14262282" w:history="1">
        <w:r w:rsidR="004A76A0" w:rsidRPr="004376CF">
          <w:rPr>
            <w:rStyle w:val="Hyperlink"/>
            <w:sz w:val="20"/>
            <w:szCs w:val="20"/>
          </w:rPr>
          <w:t>Commonwealth Information Security Officers Advisory Group</w:t>
        </w:r>
        <w:r w:rsidR="004A76A0" w:rsidRPr="004376CF">
          <w:rPr>
            <w:webHidden/>
            <w:sz w:val="20"/>
            <w:szCs w:val="20"/>
          </w:rPr>
          <w:tab/>
        </w:r>
        <w:r w:rsidR="004A76A0" w:rsidRPr="004376CF">
          <w:rPr>
            <w:webHidden/>
            <w:sz w:val="20"/>
            <w:szCs w:val="20"/>
          </w:rPr>
          <w:fldChar w:fldCharType="begin"/>
        </w:r>
        <w:r w:rsidR="004A76A0" w:rsidRPr="004376CF">
          <w:rPr>
            <w:webHidden/>
            <w:sz w:val="20"/>
            <w:szCs w:val="20"/>
          </w:rPr>
          <w:instrText xml:space="preserve"> PAGEREF _Toc14262282 \h </w:instrText>
        </w:r>
        <w:r w:rsidR="004A76A0" w:rsidRPr="004376CF">
          <w:rPr>
            <w:webHidden/>
            <w:sz w:val="20"/>
            <w:szCs w:val="20"/>
          </w:rPr>
        </w:r>
        <w:r w:rsidR="004A76A0" w:rsidRPr="004376CF">
          <w:rPr>
            <w:webHidden/>
            <w:sz w:val="20"/>
            <w:szCs w:val="20"/>
          </w:rPr>
          <w:fldChar w:fldCharType="separate"/>
        </w:r>
        <w:r>
          <w:rPr>
            <w:webHidden/>
            <w:sz w:val="20"/>
            <w:szCs w:val="20"/>
          </w:rPr>
          <w:t>24</w:t>
        </w:r>
        <w:r w:rsidR="004A76A0" w:rsidRPr="004376CF">
          <w:rPr>
            <w:webHidden/>
            <w:sz w:val="20"/>
            <w:szCs w:val="20"/>
          </w:rPr>
          <w:fldChar w:fldCharType="end"/>
        </w:r>
      </w:hyperlink>
    </w:p>
    <w:p w14:paraId="726BA2F7" w14:textId="239A493F" w:rsidR="004A76A0" w:rsidRPr="004376CF" w:rsidRDefault="004B53EA">
      <w:pPr>
        <w:pStyle w:val="TOC2"/>
        <w:rPr>
          <w:rFonts w:asciiTheme="minorHAnsi" w:eastAsiaTheme="minorEastAsia" w:hAnsiTheme="minorHAnsi" w:cstheme="minorBidi"/>
          <w:color w:val="auto"/>
          <w:sz w:val="20"/>
          <w:szCs w:val="20"/>
        </w:rPr>
      </w:pPr>
      <w:hyperlink w:anchor="_Toc14262283" w:history="1">
        <w:r w:rsidR="004A76A0" w:rsidRPr="004376CF">
          <w:rPr>
            <w:rStyle w:val="Hyperlink"/>
            <w:sz w:val="20"/>
            <w:szCs w:val="20"/>
          </w:rPr>
          <w:t>Cybersecurity strategy development and monitoring</w:t>
        </w:r>
        <w:r w:rsidR="004A76A0" w:rsidRPr="004376CF">
          <w:rPr>
            <w:webHidden/>
            <w:sz w:val="20"/>
            <w:szCs w:val="20"/>
          </w:rPr>
          <w:tab/>
        </w:r>
        <w:r w:rsidR="004A76A0" w:rsidRPr="004376CF">
          <w:rPr>
            <w:webHidden/>
            <w:sz w:val="20"/>
            <w:szCs w:val="20"/>
          </w:rPr>
          <w:fldChar w:fldCharType="begin"/>
        </w:r>
        <w:r w:rsidR="004A76A0" w:rsidRPr="004376CF">
          <w:rPr>
            <w:webHidden/>
            <w:sz w:val="20"/>
            <w:szCs w:val="20"/>
          </w:rPr>
          <w:instrText xml:space="preserve"> PAGEREF _Toc14262283 \h </w:instrText>
        </w:r>
        <w:r w:rsidR="004A76A0" w:rsidRPr="004376CF">
          <w:rPr>
            <w:webHidden/>
            <w:sz w:val="20"/>
            <w:szCs w:val="20"/>
          </w:rPr>
        </w:r>
        <w:r w:rsidR="004A76A0" w:rsidRPr="004376CF">
          <w:rPr>
            <w:webHidden/>
            <w:sz w:val="20"/>
            <w:szCs w:val="20"/>
          </w:rPr>
          <w:fldChar w:fldCharType="separate"/>
        </w:r>
        <w:r>
          <w:rPr>
            <w:webHidden/>
            <w:sz w:val="20"/>
            <w:szCs w:val="20"/>
          </w:rPr>
          <w:t>24</w:t>
        </w:r>
        <w:r w:rsidR="004A76A0" w:rsidRPr="004376CF">
          <w:rPr>
            <w:webHidden/>
            <w:sz w:val="20"/>
            <w:szCs w:val="20"/>
          </w:rPr>
          <w:fldChar w:fldCharType="end"/>
        </w:r>
      </w:hyperlink>
    </w:p>
    <w:p w14:paraId="2657D6BE" w14:textId="249561A7" w:rsidR="004A76A0" w:rsidRPr="004376CF" w:rsidRDefault="004B53EA">
      <w:pPr>
        <w:pStyle w:val="TOC2"/>
        <w:rPr>
          <w:rFonts w:asciiTheme="minorHAnsi" w:eastAsiaTheme="minorEastAsia" w:hAnsiTheme="minorHAnsi" w:cstheme="minorBidi"/>
          <w:color w:val="auto"/>
          <w:sz w:val="20"/>
          <w:szCs w:val="20"/>
        </w:rPr>
      </w:pPr>
      <w:hyperlink w:anchor="_Toc14262284" w:history="1">
        <w:r w:rsidR="004A76A0" w:rsidRPr="004376CF">
          <w:rPr>
            <w:rStyle w:val="Hyperlink"/>
            <w:sz w:val="20"/>
            <w:szCs w:val="20"/>
          </w:rPr>
          <w:t>Commonwealth Information Security (IS) Council</w:t>
        </w:r>
        <w:r w:rsidR="004A76A0" w:rsidRPr="004376CF">
          <w:rPr>
            <w:webHidden/>
            <w:sz w:val="20"/>
            <w:szCs w:val="20"/>
          </w:rPr>
          <w:tab/>
        </w:r>
        <w:r w:rsidR="004A76A0" w:rsidRPr="004376CF">
          <w:rPr>
            <w:webHidden/>
            <w:sz w:val="20"/>
            <w:szCs w:val="20"/>
          </w:rPr>
          <w:fldChar w:fldCharType="begin"/>
        </w:r>
        <w:r w:rsidR="004A76A0" w:rsidRPr="004376CF">
          <w:rPr>
            <w:webHidden/>
            <w:sz w:val="20"/>
            <w:szCs w:val="20"/>
          </w:rPr>
          <w:instrText xml:space="preserve"> PAGEREF _Toc14262284 \h </w:instrText>
        </w:r>
        <w:r w:rsidR="004A76A0" w:rsidRPr="004376CF">
          <w:rPr>
            <w:webHidden/>
            <w:sz w:val="20"/>
            <w:szCs w:val="20"/>
          </w:rPr>
        </w:r>
        <w:r w:rsidR="004A76A0" w:rsidRPr="004376CF">
          <w:rPr>
            <w:webHidden/>
            <w:sz w:val="20"/>
            <w:szCs w:val="20"/>
          </w:rPr>
          <w:fldChar w:fldCharType="separate"/>
        </w:r>
        <w:r>
          <w:rPr>
            <w:webHidden/>
            <w:sz w:val="20"/>
            <w:szCs w:val="20"/>
          </w:rPr>
          <w:t>25</w:t>
        </w:r>
        <w:r w:rsidR="004A76A0" w:rsidRPr="004376CF">
          <w:rPr>
            <w:webHidden/>
            <w:sz w:val="20"/>
            <w:szCs w:val="20"/>
          </w:rPr>
          <w:fldChar w:fldCharType="end"/>
        </w:r>
      </w:hyperlink>
    </w:p>
    <w:p w14:paraId="12D5F7FD" w14:textId="73268528" w:rsidR="004A76A0" w:rsidRPr="004376CF" w:rsidRDefault="004B53EA">
      <w:pPr>
        <w:pStyle w:val="TOC1"/>
        <w:rPr>
          <w:rFonts w:asciiTheme="minorHAnsi" w:eastAsiaTheme="minorEastAsia" w:hAnsiTheme="minorHAnsi" w:cstheme="minorBidi"/>
          <w:b w:val="0"/>
          <w:noProof/>
          <w:color w:val="auto"/>
          <w:sz w:val="20"/>
          <w:szCs w:val="20"/>
        </w:rPr>
      </w:pPr>
      <w:hyperlink w:anchor="_Toc14262285" w:history="1">
        <w:r w:rsidR="004A76A0" w:rsidRPr="004376CF">
          <w:rPr>
            <w:rStyle w:val="Hyperlink"/>
            <w:noProof/>
            <w:sz w:val="20"/>
            <w:szCs w:val="20"/>
          </w:rPr>
          <w:t>Commonwealth IT Risk Management Program</w:t>
        </w:r>
        <w:r w:rsidR="004A76A0" w:rsidRPr="004376CF">
          <w:rPr>
            <w:noProof/>
            <w:webHidden/>
            <w:sz w:val="20"/>
            <w:szCs w:val="20"/>
          </w:rPr>
          <w:tab/>
        </w:r>
        <w:r w:rsidR="004A76A0" w:rsidRPr="004376CF">
          <w:rPr>
            <w:noProof/>
            <w:webHidden/>
            <w:sz w:val="20"/>
            <w:szCs w:val="20"/>
          </w:rPr>
          <w:fldChar w:fldCharType="begin"/>
        </w:r>
        <w:r w:rsidR="004A76A0" w:rsidRPr="004376CF">
          <w:rPr>
            <w:noProof/>
            <w:webHidden/>
            <w:sz w:val="20"/>
            <w:szCs w:val="20"/>
          </w:rPr>
          <w:instrText xml:space="preserve"> PAGEREF _Toc14262285 \h </w:instrText>
        </w:r>
        <w:r w:rsidR="004A76A0" w:rsidRPr="004376CF">
          <w:rPr>
            <w:noProof/>
            <w:webHidden/>
            <w:sz w:val="20"/>
            <w:szCs w:val="20"/>
          </w:rPr>
        </w:r>
        <w:r w:rsidR="004A76A0" w:rsidRPr="004376CF">
          <w:rPr>
            <w:noProof/>
            <w:webHidden/>
            <w:sz w:val="20"/>
            <w:szCs w:val="20"/>
          </w:rPr>
          <w:fldChar w:fldCharType="separate"/>
        </w:r>
        <w:r>
          <w:rPr>
            <w:noProof/>
            <w:webHidden/>
            <w:sz w:val="20"/>
            <w:szCs w:val="20"/>
          </w:rPr>
          <w:t>25</w:t>
        </w:r>
        <w:r w:rsidR="004A76A0" w:rsidRPr="004376CF">
          <w:rPr>
            <w:noProof/>
            <w:webHidden/>
            <w:sz w:val="20"/>
            <w:szCs w:val="20"/>
          </w:rPr>
          <w:fldChar w:fldCharType="end"/>
        </w:r>
      </w:hyperlink>
    </w:p>
    <w:p w14:paraId="35976AE5" w14:textId="54361372" w:rsidR="004A76A0" w:rsidRPr="004376CF" w:rsidRDefault="004B53EA">
      <w:pPr>
        <w:pStyle w:val="TOC2"/>
        <w:rPr>
          <w:rFonts w:asciiTheme="minorHAnsi" w:eastAsiaTheme="minorEastAsia" w:hAnsiTheme="minorHAnsi" w:cstheme="minorBidi"/>
          <w:color w:val="auto"/>
          <w:sz w:val="20"/>
          <w:szCs w:val="20"/>
        </w:rPr>
      </w:pPr>
      <w:hyperlink w:anchor="_Toc14262286" w:history="1">
        <w:r w:rsidR="004A76A0" w:rsidRPr="004376CF">
          <w:rPr>
            <w:rStyle w:val="Hyperlink"/>
            <w:sz w:val="20"/>
            <w:szCs w:val="20"/>
          </w:rPr>
          <w:t>Risk compliance report card</w:t>
        </w:r>
        <w:r w:rsidR="004A76A0" w:rsidRPr="004376CF">
          <w:rPr>
            <w:webHidden/>
            <w:sz w:val="20"/>
            <w:szCs w:val="20"/>
          </w:rPr>
          <w:tab/>
        </w:r>
        <w:r w:rsidR="004A76A0" w:rsidRPr="004376CF">
          <w:rPr>
            <w:webHidden/>
            <w:sz w:val="20"/>
            <w:szCs w:val="20"/>
          </w:rPr>
          <w:fldChar w:fldCharType="begin"/>
        </w:r>
        <w:r w:rsidR="004A76A0" w:rsidRPr="004376CF">
          <w:rPr>
            <w:webHidden/>
            <w:sz w:val="20"/>
            <w:szCs w:val="20"/>
          </w:rPr>
          <w:instrText xml:space="preserve"> PAGEREF _Toc14262286 \h </w:instrText>
        </w:r>
        <w:r w:rsidR="004A76A0" w:rsidRPr="004376CF">
          <w:rPr>
            <w:webHidden/>
            <w:sz w:val="20"/>
            <w:szCs w:val="20"/>
          </w:rPr>
        </w:r>
        <w:r w:rsidR="004A76A0" w:rsidRPr="004376CF">
          <w:rPr>
            <w:webHidden/>
            <w:sz w:val="20"/>
            <w:szCs w:val="20"/>
          </w:rPr>
          <w:fldChar w:fldCharType="separate"/>
        </w:r>
        <w:r>
          <w:rPr>
            <w:webHidden/>
            <w:sz w:val="20"/>
            <w:szCs w:val="20"/>
          </w:rPr>
          <w:t>25</w:t>
        </w:r>
        <w:r w:rsidR="004A76A0" w:rsidRPr="004376CF">
          <w:rPr>
            <w:webHidden/>
            <w:sz w:val="20"/>
            <w:szCs w:val="20"/>
          </w:rPr>
          <w:fldChar w:fldCharType="end"/>
        </w:r>
      </w:hyperlink>
    </w:p>
    <w:p w14:paraId="0CEC9FB2" w14:textId="70F8A96F" w:rsidR="004A76A0" w:rsidRPr="004376CF" w:rsidRDefault="004B53EA">
      <w:pPr>
        <w:pStyle w:val="TOC2"/>
        <w:rPr>
          <w:rFonts w:asciiTheme="minorHAnsi" w:eastAsiaTheme="minorEastAsia" w:hAnsiTheme="minorHAnsi" w:cstheme="minorBidi"/>
          <w:color w:val="auto"/>
          <w:sz w:val="20"/>
          <w:szCs w:val="20"/>
        </w:rPr>
      </w:pPr>
      <w:hyperlink w:anchor="_Toc14262287" w:history="1">
        <w:r w:rsidR="004A76A0" w:rsidRPr="004376CF">
          <w:rPr>
            <w:rStyle w:val="Hyperlink"/>
            <w:sz w:val="20"/>
            <w:szCs w:val="20"/>
          </w:rPr>
          <w:t>IT Risk Management Program Monitoring</w:t>
        </w:r>
        <w:r w:rsidR="004A76A0" w:rsidRPr="004376CF">
          <w:rPr>
            <w:webHidden/>
            <w:sz w:val="20"/>
            <w:szCs w:val="20"/>
          </w:rPr>
          <w:tab/>
        </w:r>
        <w:r w:rsidR="004A76A0" w:rsidRPr="004376CF">
          <w:rPr>
            <w:webHidden/>
            <w:sz w:val="20"/>
            <w:szCs w:val="20"/>
          </w:rPr>
          <w:fldChar w:fldCharType="begin"/>
        </w:r>
        <w:r w:rsidR="004A76A0" w:rsidRPr="004376CF">
          <w:rPr>
            <w:webHidden/>
            <w:sz w:val="20"/>
            <w:szCs w:val="20"/>
          </w:rPr>
          <w:instrText xml:space="preserve"> PAGEREF _Toc14262287 \h </w:instrText>
        </w:r>
        <w:r w:rsidR="004A76A0" w:rsidRPr="004376CF">
          <w:rPr>
            <w:webHidden/>
            <w:sz w:val="20"/>
            <w:szCs w:val="20"/>
          </w:rPr>
        </w:r>
        <w:r w:rsidR="004A76A0" w:rsidRPr="004376CF">
          <w:rPr>
            <w:webHidden/>
            <w:sz w:val="20"/>
            <w:szCs w:val="20"/>
          </w:rPr>
          <w:fldChar w:fldCharType="separate"/>
        </w:r>
        <w:r>
          <w:rPr>
            <w:webHidden/>
            <w:sz w:val="20"/>
            <w:szCs w:val="20"/>
          </w:rPr>
          <w:t>25</w:t>
        </w:r>
        <w:r w:rsidR="004A76A0" w:rsidRPr="004376CF">
          <w:rPr>
            <w:webHidden/>
            <w:sz w:val="20"/>
            <w:szCs w:val="20"/>
          </w:rPr>
          <w:fldChar w:fldCharType="end"/>
        </w:r>
      </w:hyperlink>
    </w:p>
    <w:p w14:paraId="6CB73498" w14:textId="30FE284F" w:rsidR="004A76A0" w:rsidRPr="004376CF" w:rsidRDefault="004B53EA">
      <w:pPr>
        <w:pStyle w:val="TOC1"/>
        <w:rPr>
          <w:rFonts w:asciiTheme="minorHAnsi" w:eastAsiaTheme="minorEastAsia" w:hAnsiTheme="minorHAnsi" w:cstheme="minorBidi"/>
          <w:b w:val="0"/>
          <w:noProof/>
          <w:color w:val="auto"/>
          <w:sz w:val="20"/>
          <w:szCs w:val="20"/>
        </w:rPr>
      </w:pPr>
      <w:hyperlink w:anchor="_Toc14262288" w:history="1">
        <w:r w:rsidR="004A76A0" w:rsidRPr="004376CF">
          <w:rPr>
            <w:rStyle w:val="Hyperlink"/>
            <w:noProof/>
            <w:sz w:val="20"/>
            <w:szCs w:val="20"/>
          </w:rPr>
          <w:t>Nationwide Cyber Security Review</w:t>
        </w:r>
        <w:r w:rsidR="004A76A0" w:rsidRPr="004376CF">
          <w:rPr>
            <w:noProof/>
            <w:webHidden/>
            <w:sz w:val="20"/>
            <w:szCs w:val="20"/>
          </w:rPr>
          <w:tab/>
        </w:r>
        <w:r w:rsidR="004A76A0" w:rsidRPr="004376CF">
          <w:rPr>
            <w:noProof/>
            <w:webHidden/>
            <w:sz w:val="20"/>
            <w:szCs w:val="20"/>
          </w:rPr>
          <w:fldChar w:fldCharType="begin"/>
        </w:r>
        <w:r w:rsidR="004A76A0" w:rsidRPr="004376CF">
          <w:rPr>
            <w:noProof/>
            <w:webHidden/>
            <w:sz w:val="20"/>
            <w:szCs w:val="20"/>
          </w:rPr>
          <w:instrText xml:space="preserve"> PAGEREF _Toc14262288 \h </w:instrText>
        </w:r>
        <w:r w:rsidR="004A76A0" w:rsidRPr="004376CF">
          <w:rPr>
            <w:noProof/>
            <w:webHidden/>
            <w:sz w:val="20"/>
            <w:szCs w:val="20"/>
          </w:rPr>
        </w:r>
        <w:r w:rsidR="004A76A0" w:rsidRPr="004376CF">
          <w:rPr>
            <w:noProof/>
            <w:webHidden/>
            <w:sz w:val="20"/>
            <w:szCs w:val="20"/>
          </w:rPr>
          <w:fldChar w:fldCharType="separate"/>
        </w:r>
        <w:r>
          <w:rPr>
            <w:noProof/>
            <w:webHidden/>
            <w:sz w:val="20"/>
            <w:szCs w:val="20"/>
          </w:rPr>
          <w:t>28</w:t>
        </w:r>
        <w:r w:rsidR="004A76A0" w:rsidRPr="004376CF">
          <w:rPr>
            <w:noProof/>
            <w:webHidden/>
            <w:sz w:val="20"/>
            <w:szCs w:val="20"/>
          </w:rPr>
          <w:fldChar w:fldCharType="end"/>
        </w:r>
      </w:hyperlink>
    </w:p>
    <w:p w14:paraId="4B69AF9E" w14:textId="0E890655" w:rsidR="004A76A0" w:rsidRPr="004376CF" w:rsidRDefault="004B53EA">
      <w:pPr>
        <w:pStyle w:val="TOC1"/>
        <w:rPr>
          <w:rFonts w:asciiTheme="minorHAnsi" w:eastAsiaTheme="minorEastAsia" w:hAnsiTheme="minorHAnsi" w:cstheme="minorBidi"/>
          <w:b w:val="0"/>
          <w:noProof/>
          <w:color w:val="auto"/>
          <w:sz w:val="20"/>
          <w:szCs w:val="20"/>
        </w:rPr>
      </w:pPr>
      <w:hyperlink w:anchor="_Toc14262289" w:history="1">
        <w:r w:rsidR="004A76A0" w:rsidRPr="004376CF">
          <w:rPr>
            <w:rStyle w:val="Hyperlink"/>
            <w:noProof/>
            <w:sz w:val="20"/>
            <w:szCs w:val="20"/>
          </w:rPr>
          <w:t>Appendix I –Agency compliance report card</w:t>
        </w:r>
        <w:r w:rsidR="004A76A0" w:rsidRPr="004376CF">
          <w:rPr>
            <w:noProof/>
            <w:webHidden/>
            <w:sz w:val="20"/>
            <w:szCs w:val="20"/>
          </w:rPr>
          <w:tab/>
        </w:r>
        <w:r w:rsidR="004A76A0" w:rsidRPr="004376CF">
          <w:rPr>
            <w:noProof/>
            <w:webHidden/>
            <w:sz w:val="20"/>
            <w:szCs w:val="20"/>
          </w:rPr>
          <w:fldChar w:fldCharType="begin"/>
        </w:r>
        <w:r w:rsidR="004A76A0" w:rsidRPr="004376CF">
          <w:rPr>
            <w:noProof/>
            <w:webHidden/>
            <w:sz w:val="20"/>
            <w:szCs w:val="20"/>
          </w:rPr>
          <w:instrText xml:space="preserve"> PAGEREF _Toc14262289 \h </w:instrText>
        </w:r>
        <w:r w:rsidR="004A76A0" w:rsidRPr="004376CF">
          <w:rPr>
            <w:noProof/>
            <w:webHidden/>
            <w:sz w:val="20"/>
            <w:szCs w:val="20"/>
          </w:rPr>
        </w:r>
        <w:r w:rsidR="004A76A0" w:rsidRPr="004376CF">
          <w:rPr>
            <w:noProof/>
            <w:webHidden/>
            <w:sz w:val="20"/>
            <w:szCs w:val="20"/>
          </w:rPr>
          <w:fldChar w:fldCharType="separate"/>
        </w:r>
        <w:r>
          <w:rPr>
            <w:noProof/>
            <w:webHidden/>
            <w:sz w:val="20"/>
            <w:szCs w:val="20"/>
          </w:rPr>
          <w:t>33</w:t>
        </w:r>
        <w:r w:rsidR="004A76A0" w:rsidRPr="004376CF">
          <w:rPr>
            <w:noProof/>
            <w:webHidden/>
            <w:sz w:val="20"/>
            <w:szCs w:val="20"/>
          </w:rPr>
          <w:fldChar w:fldCharType="end"/>
        </w:r>
      </w:hyperlink>
    </w:p>
    <w:p w14:paraId="308318BD" w14:textId="39C499DC" w:rsidR="004A76A0" w:rsidRPr="004376CF" w:rsidRDefault="004B53EA">
      <w:pPr>
        <w:pStyle w:val="TOC1"/>
        <w:rPr>
          <w:rFonts w:asciiTheme="minorHAnsi" w:eastAsiaTheme="minorEastAsia" w:hAnsiTheme="minorHAnsi" w:cstheme="minorBidi"/>
          <w:b w:val="0"/>
          <w:noProof/>
          <w:color w:val="auto"/>
          <w:sz w:val="20"/>
          <w:szCs w:val="20"/>
        </w:rPr>
      </w:pPr>
      <w:hyperlink w:anchor="_Toc14262290" w:history="1">
        <w:r w:rsidR="004A76A0" w:rsidRPr="004376CF">
          <w:rPr>
            <w:rStyle w:val="Hyperlink"/>
            <w:noProof/>
            <w:sz w:val="20"/>
            <w:szCs w:val="20"/>
          </w:rPr>
          <w:t>Appendix II - Agency information security data points</w:t>
        </w:r>
        <w:r w:rsidR="004A76A0" w:rsidRPr="004376CF">
          <w:rPr>
            <w:noProof/>
            <w:webHidden/>
            <w:sz w:val="20"/>
            <w:szCs w:val="20"/>
          </w:rPr>
          <w:tab/>
        </w:r>
        <w:r w:rsidR="004A76A0" w:rsidRPr="004376CF">
          <w:rPr>
            <w:noProof/>
            <w:webHidden/>
            <w:sz w:val="20"/>
            <w:szCs w:val="20"/>
          </w:rPr>
          <w:fldChar w:fldCharType="begin"/>
        </w:r>
        <w:r w:rsidR="004A76A0" w:rsidRPr="004376CF">
          <w:rPr>
            <w:noProof/>
            <w:webHidden/>
            <w:sz w:val="20"/>
            <w:szCs w:val="20"/>
          </w:rPr>
          <w:instrText xml:space="preserve"> PAGEREF _Toc14262290 \h </w:instrText>
        </w:r>
        <w:r w:rsidR="004A76A0" w:rsidRPr="004376CF">
          <w:rPr>
            <w:noProof/>
            <w:webHidden/>
            <w:sz w:val="20"/>
            <w:szCs w:val="20"/>
          </w:rPr>
        </w:r>
        <w:r w:rsidR="004A76A0" w:rsidRPr="004376CF">
          <w:rPr>
            <w:noProof/>
            <w:webHidden/>
            <w:sz w:val="20"/>
            <w:szCs w:val="20"/>
          </w:rPr>
          <w:fldChar w:fldCharType="separate"/>
        </w:r>
        <w:r>
          <w:rPr>
            <w:noProof/>
            <w:webHidden/>
            <w:sz w:val="20"/>
            <w:szCs w:val="20"/>
          </w:rPr>
          <w:t>35</w:t>
        </w:r>
        <w:r w:rsidR="004A76A0" w:rsidRPr="004376CF">
          <w:rPr>
            <w:noProof/>
            <w:webHidden/>
            <w:sz w:val="20"/>
            <w:szCs w:val="20"/>
          </w:rPr>
          <w:fldChar w:fldCharType="end"/>
        </w:r>
      </w:hyperlink>
    </w:p>
    <w:p w14:paraId="3058EA6B" w14:textId="464F627D" w:rsidR="004A76A0" w:rsidRPr="004376CF" w:rsidRDefault="004B53EA">
      <w:pPr>
        <w:pStyle w:val="TOC1"/>
        <w:rPr>
          <w:rFonts w:asciiTheme="minorHAnsi" w:eastAsiaTheme="minorEastAsia" w:hAnsiTheme="minorHAnsi" w:cstheme="minorBidi"/>
          <w:b w:val="0"/>
          <w:noProof/>
          <w:color w:val="auto"/>
          <w:sz w:val="20"/>
          <w:szCs w:val="20"/>
        </w:rPr>
      </w:pPr>
      <w:hyperlink w:anchor="_Toc14262291" w:history="1">
        <w:r w:rsidR="004A76A0" w:rsidRPr="004376CF">
          <w:rPr>
            <w:rStyle w:val="Hyperlink"/>
            <w:noProof/>
            <w:sz w:val="20"/>
            <w:szCs w:val="20"/>
          </w:rPr>
          <w:t>Appendix III – Cybersecurity framework results – Detail</w:t>
        </w:r>
        <w:r w:rsidR="004A76A0" w:rsidRPr="004376CF">
          <w:rPr>
            <w:noProof/>
            <w:webHidden/>
            <w:sz w:val="20"/>
            <w:szCs w:val="20"/>
          </w:rPr>
          <w:tab/>
        </w:r>
        <w:r w:rsidR="004A76A0" w:rsidRPr="004376CF">
          <w:rPr>
            <w:noProof/>
            <w:webHidden/>
            <w:sz w:val="20"/>
            <w:szCs w:val="20"/>
          </w:rPr>
          <w:fldChar w:fldCharType="begin"/>
        </w:r>
        <w:r w:rsidR="004A76A0" w:rsidRPr="004376CF">
          <w:rPr>
            <w:noProof/>
            <w:webHidden/>
            <w:sz w:val="20"/>
            <w:szCs w:val="20"/>
          </w:rPr>
          <w:instrText xml:space="preserve"> PAGEREF _Toc14262291 \h </w:instrText>
        </w:r>
        <w:r w:rsidR="004A76A0" w:rsidRPr="004376CF">
          <w:rPr>
            <w:noProof/>
            <w:webHidden/>
            <w:sz w:val="20"/>
            <w:szCs w:val="20"/>
          </w:rPr>
        </w:r>
        <w:r w:rsidR="004A76A0" w:rsidRPr="004376CF">
          <w:rPr>
            <w:noProof/>
            <w:webHidden/>
            <w:sz w:val="20"/>
            <w:szCs w:val="20"/>
          </w:rPr>
          <w:fldChar w:fldCharType="separate"/>
        </w:r>
        <w:r>
          <w:rPr>
            <w:noProof/>
            <w:webHidden/>
            <w:sz w:val="20"/>
            <w:szCs w:val="20"/>
          </w:rPr>
          <w:t>41</w:t>
        </w:r>
        <w:r w:rsidR="004A76A0" w:rsidRPr="004376CF">
          <w:rPr>
            <w:noProof/>
            <w:webHidden/>
            <w:sz w:val="20"/>
            <w:szCs w:val="20"/>
          </w:rPr>
          <w:fldChar w:fldCharType="end"/>
        </w:r>
      </w:hyperlink>
    </w:p>
    <w:p w14:paraId="23E2E701" w14:textId="77777777" w:rsidR="00A81710" w:rsidRPr="00BD7A61" w:rsidRDefault="009539CB" w:rsidP="00534E3D">
      <w:pPr>
        <w:rPr>
          <w:rFonts w:ascii="Verdana" w:hAnsi="Verdana"/>
          <w:sz w:val="22"/>
          <w:szCs w:val="22"/>
        </w:rPr>
        <w:sectPr w:rsidR="00A81710" w:rsidRPr="00BD7A61" w:rsidSect="00CC680B">
          <w:headerReference w:type="default" r:id="rId11"/>
          <w:footerReference w:type="default" r:id="rId12"/>
          <w:headerReference w:type="first" r:id="rId13"/>
          <w:footerReference w:type="first" r:id="rId14"/>
          <w:pgSz w:w="12240" w:h="15840" w:code="1"/>
          <w:pgMar w:top="1440" w:right="1080" w:bottom="1440" w:left="1080" w:header="720" w:footer="720" w:gutter="0"/>
          <w:cols w:space="720"/>
          <w:docGrid w:linePitch="360"/>
        </w:sectPr>
      </w:pPr>
      <w:r w:rsidRPr="004376CF">
        <w:rPr>
          <w:rFonts w:ascii="Verdana" w:hAnsi="Verdana"/>
          <w:sz w:val="20"/>
          <w:szCs w:val="20"/>
        </w:rPr>
        <w:fldChar w:fldCharType="end"/>
      </w:r>
    </w:p>
    <w:p w14:paraId="7EA5C70F" w14:textId="77777777" w:rsidR="00E04D44" w:rsidRPr="00BB13FD" w:rsidRDefault="00E04D44" w:rsidP="00BB13FD">
      <w:pPr>
        <w:pStyle w:val="Heading1"/>
        <w:spacing w:after="240"/>
        <w:rPr>
          <w:rFonts w:ascii="Verdana" w:hAnsi="Verdana"/>
          <w:color w:val="008000"/>
          <w:sz w:val="22"/>
          <w:szCs w:val="22"/>
        </w:rPr>
      </w:pPr>
      <w:bookmarkStart w:id="2" w:name="_Toc14262267"/>
      <w:r w:rsidRPr="00BB13FD">
        <w:rPr>
          <w:rFonts w:ascii="Verdana" w:hAnsi="Verdana"/>
          <w:color w:val="008000"/>
          <w:sz w:val="22"/>
          <w:szCs w:val="22"/>
        </w:rPr>
        <w:lastRenderedPageBreak/>
        <w:t>Executive Summary</w:t>
      </w:r>
      <w:bookmarkEnd w:id="2"/>
      <w:r w:rsidRPr="00BB13FD">
        <w:rPr>
          <w:rFonts w:ascii="Verdana" w:hAnsi="Verdana"/>
          <w:color w:val="008000"/>
          <w:sz w:val="22"/>
          <w:szCs w:val="22"/>
        </w:rPr>
        <w:t xml:space="preserve"> </w:t>
      </w:r>
    </w:p>
    <w:p w14:paraId="52C4CFDA" w14:textId="04087DFB" w:rsidR="00B113AD" w:rsidRPr="009C1C62" w:rsidRDefault="00B113AD" w:rsidP="00BA2A9A">
      <w:pPr>
        <w:rPr>
          <w:rFonts w:ascii="Verdana" w:hAnsi="Verdana"/>
          <w:b/>
          <w:bCs/>
          <w:sz w:val="22"/>
          <w:szCs w:val="22"/>
        </w:rPr>
      </w:pPr>
      <w:r w:rsidRPr="00096C75">
        <w:rPr>
          <w:rFonts w:ascii="Verdana" w:hAnsi="Verdana"/>
          <w:b/>
          <w:bCs/>
          <w:sz w:val="22"/>
          <w:szCs w:val="22"/>
        </w:rPr>
        <w:t xml:space="preserve">This </w:t>
      </w:r>
      <w:r w:rsidR="00603A5B">
        <w:rPr>
          <w:rFonts w:ascii="Verdana" w:hAnsi="Verdana"/>
          <w:b/>
          <w:bCs/>
          <w:sz w:val="22"/>
          <w:szCs w:val="22"/>
        </w:rPr>
        <w:t>2018</w:t>
      </w:r>
      <w:r w:rsidR="00092933" w:rsidRPr="00096C75">
        <w:rPr>
          <w:rFonts w:ascii="Verdana" w:hAnsi="Verdana"/>
          <w:b/>
          <w:bCs/>
          <w:sz w:val="22"/>
          <w:szCs w:val="22"/>
        </w:rPr>
        <w:t xml:space="preserve"> </w:t>
      </w:r>
      <w:r w:rsidR="00073D0F" w:rsidRPr="00C62A35">
        <w:rPr>
          <w:rFonts w:ascii="Verdana" w:hAnsi="Verdana"/>
          <w:b/>
          <w:bCs/>
          <w:sz w:val="22"/>
          <w:szCs w:val="22"/>
        </w:rPr>
        <w:t>Commonwealth</w:t>
      </w:r>
      <w:r w:rsidR="00092933" w:rsidRPr="00AA3331">
        <w:rPr>
          <w:rFonts w:ascii="Verdana" w:hAnsi="Verdana"/>
          <w:b/>
          <w:bCs/>
          <w:sz w:val="22"/>
          <w:szCs w:val="22"/>
        </w:rPr>
        <w:t xml:space="preserve"> of Virginia </w:t>
      </w:r>
      <w:r w:rsidR="001F6468" w:rsidRPr="00AA3331">
        <w:rPr>
          <w:rFonts w:ascii="Verdana" w:hAnsi="Verdana"/>
          <w:b/>
          <w:bCs/>
          <w:sz w:val="22"/>
          <w:szCs w:val="22"/>
        </w:rPr>
        <w:t xml:space="preserve">(COV) </w:t>
      </w:r>
      <w:r w:rsidRPr="00AA3331">
        <w:rPr>
          <w:rFonts w:ascii="Verdana" w:hAnsi="Verdana"/>
          <w:b/>
          <w:bCs/>
          <w:sz w:val="22"/>
          <w:szCs w:val="22"/>
        </w:rPr>
        <w:t>Information Security Report is the</w:t>
      </w:r>
      <w:r w:rsidR="00092933" w:rsidRPr="00AA3331">
        <w:rPr>
          <w:rFonts w:ascii="Verdana" w:hAnsi="Verdana"/>
          <w:b/>
          <w:bCs/>
          <w:sz w:val="22"/>
          <w:szCs w:val="22"/>
        </w:rPr>
        <w:t xml:space="preserve"> </w:t>
      </w:r>
      <w:r w:rsidR="00C33F32">
        <w:rPr>
          <w:rFonts w:ascii="Verdana" w:hAnsi="Verdana"/>
          <w:b/>
          <w:bCs/>
          <w:sz w:val="22"/>
          <w:szCs w:val="22"/>
        </w:rPr>
        <w:t>11th</w:t>
      </w:r>
      <w:r w:rsidR="00C33F32" w:rsidRPr="00603B19">
        <w:rPr>
          <w:rFonts w:ascii="Verdana" w:hAnsi="Verdana"/>
          <w:b/>
          <w:bCs/>
          <w:sz w:val="22"/>
          <w:szCs w:val="22"/>
        </w:rPr>
        <w:t xml:space="preserve"> </w:t>
      </w:r>
      <w:r w:rsidRPr="000876EE">
        <w:rPr>
          <w:rFonts w:ascii="Verdana" w:hAnsi="Verdana"/>
          <w:b/>
          <w:bCs/>
          <w:sz w:val="22"/>
          <w:szCs w:val="22"/>
        </w:rPr>
        <w:t xml:space="preserve">annual report </w:t>
      </w:r>
      <w:r w:rsidR="00FA0854" w:rsidRPr="007D4ED1">
        <w:rPr>
          <w:rFonts w:ascii="Verdana" w:hAnsi="Verdana"/>
          <w:b/>
          <w:bCs/>
          <w:sz w:val="22"/>
          <w:szCs w:val="22"/>
        </w:rPr>
        <w:t xml:space="preserve">by the </w:t>
      </w:r>
      <w:r w:rsidR="00302CD1" w:rsidRPr="007D4ED1">
        <w:rPr>
          <w:rFonts w:ascii="Verdana" w:hAnsi="Verdana"/>
          <w:b/>
          <w:bCs/>
          <w:sz w:val="22"/>
          <w:szCs w:val="22"/>
        </w:rPr>
        <w:t>c</w:t>
      </w:r>
      <w:r w:rsidR="00FA0854" w:rsidRPr="007D4ED1">
        <w:rPr>
          <w:rFonts w:ascii="Verdana" w:hAnsi="Verdana"/>
          <w:b/>
          <w:bCs/>
          <w:sz w:val="22"/>
          <w:szCs w:val="22"/>
        </w:rPr>
        <w:t xml:space="preserve">hief </w:t>
      </w:r>
      <w:r w:rsidR="00302CD1" w:rsidRPr="006919F6">
        <w:rPr>
          <w:rFonts w:ascii="Verdana" w:hAnsi="Verdana"/>
          <w:b/>
          <w:bCs/>
          <w:sz w:val="22"/>
          <w:szCs w:val="22"/>
        </w:rPr>
        <w:t>i</w:t>
      </w:r>
      <w:r w:rsidR="00FA0854" w:rsidRPr="007D5DA8">
        <w:rPr>
          <w:rFonts w:ascii="Verdana" w:hAnsi="Verdana"/>
          <w:b/>
          <w:bCs/>
          <w:sz w:val="22"/>
          <w:szCs w:val="22"/>
        </w:rPr>
        <w:t xml:space="preserve">nformation </w:t>
      </w:r>
      <w:r w:rsidR="00302CD1" w:rsidRPr="00675FD4">
        <w:rPr>
          <w:rFonts w:ascii="Verdana" w:hAnsi="Verdana"/>
          <w:b/>
          <w:bCs/>
          <w:sz w:val="22"/>
          <w:szCs w:val="22"/>
        </w:rPr>
        <w:t>o</w:t>
      </w:r>
      <w:r w:rsidR="00FA0854" w:rsidRPr="00675FD4">
        <w:rPr>
          <w:rFonts w:ascii="Verdana" w:hAnsi="Verdana"/>
          <w:b/>
          <w:bCs/>
          <w:sz w:val="22"/>
          <w:szCs w:val="22"/>
        </w:rPr>
        <w:t xml:space="preserve">fficer </w:t>
      </w:r>
      <w:r w:rsidR="00302CD1" w:rsidRPr="00675FD4">
        <w:rPr>
          <w:rFonts w:ascii="Verdana" w:hAnsi="Verdana"/>
          <w:b/>
          <w:bCs/>
          <w:sz w:val="22"/>
          <w:szCs w:val="22"/>
        </w:rPr>
        <w:t xml:space="preserve">(CIO) </w:t>
      </w:r>
      <w:r w:rsidR="00FA0854" w:rsidRPr="00FE60A3">
        <w:rPr>
          <w:rFonts w:ascii="Verdana" w:hAnsi="Verdana"/>
          <w:b/>
          <w:bCs/>
          <w:sz w:val="22"/>
          <w:szCs w:val="22"/>
        </w:rPr>
        <w:t xml:space="preserve">of the </w:t>
      </w:r>
      <w:r w:rsidR="000F2815">
        <w:rPr>
          <w:rFonts w:ascii="Verdana" w:hAnsi="Verdana"/>
          <w:b/>
          <w:bCs/>
          <w:sz w:val="22"/>
          <w:szCs w:val="22"/>
        </w:rPr>
        <w:t>c</w:t>
      </w:r>
      <w:r w:rsidR="00073D0F" w:rsidRPr="00FE60A3">
        <w:rPr>
          <w:rFonts w:ascii="Verdana" w:hAnsi="Verdana"/>
          <w:b/>
          <w:bCs/>
          <w:sz w:val="22"/>
          <w:szCs w:val="22"/>
        </w:rPr>
        <w:t>ommonwealth</w:t>
      </w:r>
      <w:r w:rsidR="00FA0854" w:rsidRPr="00FE60A3">
        <w:rPr>
          <w:rFonts w:ascii="Verdana" w:hAnsi="Verdana"/>
          <w:b/>
          <w:bCs/>
          <w:sz w:val="22"/>
          <w:szCs w:val="22"/>
        </w:rPr>
        <w:t xml:space="preserve"> </w:t>
      </w:r>
      <w:r w:rsidRPr="008863A6">
        <w:rPr>
          <w:rFonts w:ascii="Verdana" w:hAnsi="Verdana"/>
          <w:b/>
          <w:bCs/>
          <w:sz w:val="22"/>
          <w:szCs w:val="22"/>
        </w:rPr>
        <w:t xml:space="preserve">to the </w:t>
      </w:r>
      <w:r w:rsidR="00302CD1" w:rsidRPr="008863A6">
        <w:rPr>
          <w:rFonts w:ascii="Verdana" w:hAnsi="Verdana"/>
          <w:b/>
          <w:bCs/>
          <w:sz w:val="22"/>
          <w:szCs w:val="22"/>
        </w:rPr>
        <w:t>g</w:t>
      </w:r>
      <w:r w:rsidRPr="008863A6">
        <w:rPr>
          <w:rFonts w:ascii="Verdana" w:hAnsi="Verdana"/>
          <w:b/>
          <w:bCs/>
          <w:sz w:val="22"/>
          <w:szCs w:val="22"/>
        </w:rPr>
        <w:t xml:space="preserve">overnor and the General </w:t>
      </w:r>
      <w:r w:rsidRPr="00FF0F84">
        <w:rPr>
          <w:rFonts w:ascii="Verdana" w:hAnsi="Verdana"/>
          <w:b/>
          <w:bCs/>
          <w:sz w:val="22"/>
          <w:szCs w:val="22"/>
        </w:rPr>
        <w:t>Assembly</w:t>
      </w:r>
      <w:r w:rsidR="00FA0854" w:rsidRPr="00FF0F84">
        <w:rPr>
          <w:rFonts w:ascii="Verdana" w:hAnsi="Verdana"/>
          <w:b/>
          <w:bCs/>
          <w:sz w:val="22"/>
          <w:szCs w:val="22"/>
        </w:rPr>
        <w:t xml:space="preserve">. As directed by </w:t>
      </w:r>
      <w:r w:rsidR="00FE6DB9" w:rsidRPr="00A81710">
        <w:rPr>
          <w:rFonts w:ascii="Verdana" w:hAnsi="Verdana"/>
          <w:b/>
          <w:bCs/>
          <w:sz w:val="22"/>
          <w:szCs w:val="22"/>
        </w:rPr>
        <w:t>§</w:t>
      </w:r>
      <w:r w:rsidR="00FE6DB9">
        <w:rPr>
          <w:rFonts w:ascii="Verdana" w:hAnsi="Verdana"/>
          <w:b/>
          <w:bCs/>
          <w:sz w:val="22"/>
          <w:szCs w:val="22"/>
        </w:rPr>
        <w:t xml:space="preserve"> </w:t>
      </w:r>
      <w:r w:rsidR="00FE6DB9" w:rsidRPr="00A81710">
        <w:rPr>
          <w:rFonts w:ascii="Verdana" w:hAnsi="Verdana"/>
          <w:b/>
          <w:bCs/>
          <w:sz w:val="22"/>
          <w:szCs w:val="22"/>
        </w:rPr>
        <w:t>2.2-2009(</w:t>
      </w:r>
      <w:r w:rsidR="00FE6DB9" w:rsidRPr="004F0422">
        <w:rPr>
          <w:rFonts w:ascii="Verdana" w:hAnsi="Verdana"/>
          <w:b/>
          <w:bCs/>
          <w:sz w:val="22"/>
          <w:szCs w:val="22"/>
        </w:rPr>
        <w:t>B</w:t>
      </w:r>
      <w:r w:rsidR="00FE6DB9">
        <w:rPr>
          <w:rFonts w:ascii="Verdana" w:hAnsi="Verdana"/>
          <w:b/>
          <w:bCs/>
          <w:sz w:val="22"/>
          <w:szCs w:val="22"/>
        </w:rPr>
        <w:t>)(</w:t>
      </w:r>
      <w:r w:rsidR="00FE6DB9" w:rsidRPr="004F0422">
        <w:rPr>
          <w:rFonts w:ascii="Verdana" w:hAnsi="Verdana"/>
          <w:b/>
          <w:bCs/>
          <w:sz w:val="22"/>
          <w:szCs w:val="22"/>
        </w:rPr>
        <w:t>1</w:t>
      </w:r>
      <w:r w:rsidR="00FE6DB9" w:rsidRPr="009C1C62">
        <w:rPr>
          <w:rFonts w:ascii="Verdana" w:hAnsi="Verdana"/>
          <w:b/>
          <w:bCs/>
          <w:sz w:val="22"/>
          <w:szCs w:val="22"/>
        </w:rPr>
        <w:t xml:space="preserve">) </w:t>
      </w:r>
      <w:r w:rsidR="00FA0854" w:rsidRPr="009C1C62">
        <w:rPr>
          <w:rFonts w:ascii="Verdana" w:hAnsi="Verdana"/>
          <w:b/>
          <w:bCs/>
          <w:sz w:val="22"/>
          <w:szCs w:val="22"/>
        </w:rPr>
        <w:t xml:space="preserve">of the </w:t>
      </w:r>
      <w:r w:rsidR="00FA0854" w:rsidRPr="009C1C62">
        <w:rPr>
          <w:rFonts w:ascii="Verdana" w:hAnsi="Verdana"/>
          <w:b/>
          <w:bCs/>
          <w:i/>
          <w:sz w:val="22"/>
          <w:szCs w:val="22"/>
        </w:rPr>
        <w:t>Code of Virginia,</w:t>
      </w:r>
      <w:r w:rsidR="00FA0854" w:rsidRPr="009C1C62">
        <w:rPr>
          <w:rFonts w:ascii="Verdana" w:hAnsi="Verdana"/>
          <w:b/>
          <w:bCs/>
          <w:sz w:val="22"/>
          <w:szCs w:val="22"/>
        </w:rPr>
        <w:t xml:space="preserve"> the CIO is required to identify </w:t>
      </w:r>
      <w:r w:rsidR="00302CD1" w:rsidRPr="009C1C62">
        <w:rPr>
          <w:rFonts w:ascii="Verdana" w:hAnsi="Verdana"/>
          <w:b/>
          <w:bCs/>
          <w:sz w:val="22"/>
          <w:szCs w:val="22"/>
        </w:rPr>
        <w:t xml:space="preserve">annually </w:t>
      </w:r>
      <w:r w:rsidR="00FA0854" w:rsidRPr="009C1C62">
        <w:rPr>
          <w:rFonts w:ascii="Verdana" w:hAnsi="Verdana"/>
          <w:b/>
          <w:bCs/>
          <w:sz w:val="22"/>
          <w:szCs w:val="22"/>
        </w:rPr>
        <w:t>those agencies that have not implemented acceptable policies, procedures and standards to control unauthorized uses, intrusions or other security threats</w:t>
      </w:r>
      <w:r w:rsidRPr="009C1C62">
        <w:rPr>
          <w:rFonts w:ascii="Verdana" w:hAnsi="Verdana"/>
          <w:b/>
          <w:bCs/>
          <w:sz w:val="22"/>
          <w:szCs w:val="22"/>
        </w:rPr>
        <w:t xml:space="preserve">. </w:t>
      </w:r>
      <w:r w:rsidR="00CC532A" w:rsidRPr="009C1C62">
        <w:rPr>
          <w:rFonts w:ascii="Verdana" w:hAnsi="Verdana"/>
          <w:b/>
          <w:bCs/>
          <w:sz w:val="22"/>
          <w:szCs w:val="22"/>
        </w:rPr>
        <w:t xml:space="preserve">In accordance with </w:t>
      </w:r>
      <w:r w:rsidR="00FE6DB9" w:rsidRPr="009C1C62">
        <w:rPr>
          <w:rFonts w:ascii="Verdana" w:hAnsi="Verdana"/>
          <w:b/>
          <w:bCs/>
          <w:sz w:val="22"/>
          <w:szCs w:val="22"/>
        </w:rPr>
        <w:t>§</w:t>
      </w:r>
      <w:r w:rsidR="00FE6DB9">
        <w:rPr>
          <w:rFonts w:ascii="Verdana" w:hAnsi="Verdana"/>
          <w:b/>
          <w:bCs/>
          <w:sz w:val="22"/>
          <w:szCs w:val="22"/>
        </w:rPr>
        <w:t xml:space="preserve"> </w:t>
      </w:r>
      <w:r w:rsidR="00FE6DB9" w:rsidRPr="009C1C62">
        <w:rPr>
          <w:rFonts w:ascii="Verdana" w:hAnsi="Verdana"/>
          <w:b/>
          <w:bCs/>
          <w:sz w:val="22"/>
          <w:szCs w:val="22"/>
        </w:rPr>
        <w:t>2.2-2009(B</w:t>
      </w:r>
      <w:r w:rsidR="00FE6DB9">
        <w:rPr>
          <w:rFonts w:ascii="Verdana" w:hAnsi="Verdana"/>
          <w:b/>
          <w:bCs/>
          <w:sz w:val="22"/>
          <w:szCs w:val="22"/>
        </w:rPr>
        <w:t>)(</w:t>
      </w:r>
      <w:r w:rsidR="00FE6DB9" w:rsidRPr="009C1C62">
        <w:rPr>
          <w:rFonts w:ascii="Verdana" w:hAnsi="Verdana"/>
          <w:b/>
          <w:bCs/>
          <w:sz w:val="22"/>
          <w:szCs w:val="22"/>
        </w:rPr>
        <w:t>1)</w:t>
      </w:r>
      <w:r w:rsidR="00CC532A" w:rsidRPr="009C1C62">
        <w:rPr>
          <w:rFonts w:ascii="Verdana" w:hAnsi="Verdana"/>
          <w:b/>
          <w:bCs/>
          <w:sz w:val="22"/>
          <w:szCs w:val="22"/>
        </w:rPr>
        <w:t xml:space="preserve">, the </w:t>
      </w:r>
      <w:r w:rsidRPr="009C1C62">
        <w:rPr>
          <w:rFonts w:ascii="Verdana" w:hAnsi="Verdana"/>
          <w:b/>
          <w:bCs/>
          <w:sz w:val="22"/>
          <w:szCs w:val="22"/>
        </w:rPr>
        <w:t xml:space="preserve">scope of this report is limited to </w:t>
      </w:r>
      <w:r w:rsidR="00BE0C3D" w:rsidRPr="009C1C62">
        <w:rPr>
          <w:rFonts w:ascii="Verdana" w:hAnsi="Verdana"/>
          <w:b/>
          <w:bCs/>
          <w:sz w:val="22"/>
          <w:szCs w:val="22"/>
        </w:rPr>
        <w:t xml:space="preserve">the six </w:t>
      </w:r>
      <w:r w:rsidRPr="009C1C62">
        <w:rPr>
          <w:rFonts w:ascii="Verdana" w:hAnsi="Verdana"/>
          <w:b/>
          <w:bCs/>
          <w:sz w:val="22"/>
          <w:szCs w:val="22"/>
        </w:rPr>
        <w:t xml:space="preserve">independent and </w:t>
      </w:r>
      <w:r w:rsidR="00BE0C3D" w:rsidRPr="009C1C62">
        <w:rPr>
          <w:rFonts w:ascii="Verdana" w:hAnsi="Verdana"/>
          <w:b/>
          <w:bCs/>
          <w:sz w:val="22"/>
          <w:szCs w:val="22"/>
        </w:rPr>
        <w:t>7</w:t>
      </w:r>
      <w:r w:rsidR="009B7F40">
        <w:rPr>
          <w:rFonts w:ascii="Verdana" w:hAnsi="Verdana"/>
          <w:b/>
          <w:bCs/>
          <w:sz w:val="22"/>
          <w:szCs w:val="22"/>
        </w:rPr>
        <w:t>2</w:t>
      </w:r>
      <w:r w:rsidR="00BE0C3D" w:rsidRPr="009C1C62">
        <w:rPr>
          <w:rFonts w:ascii="Verdana" w:hAnsi="Verdana"/>
          <w:b/>
          <w:bCs/>
          <w:sz w:val="22"/>
          <w:szCs w:val="22"/>
        </w:rPr>
        <w:t xml:space="preserve"> </w:t>
      </w:r>
      <w:r w:rsidRPr="009C1C62">
        <w:rPr>
          <w:rFonts w:ascii="Verdana" w:hAnsi="Verdana"/>
          <w:b/>
          <w:bCs/>
          <w:sz w:val="22"/>
          <w:szCs w:val="22"/>
        </w:rPr>
        <w:t xml:space="preserve">executive branch agencies, including </w:t>
      </w:r>
      <w:r w:rsidR="00BE0C3D" w:rsidRPr="009C1C62">
        <w:rPr>
          <w:rFonts w:ascii="Verdana" w:hAnsi="Verdana"/>
          <w:b/>
          <w:bCs/>
          <w:sz w:val="22"/>
          <w:szCs w:val="22"/>
        </w:rPr>
        <w:t xml:space="preserve">two </w:t>
      </w:r>
      <w:r w:rsidR="001E0D90" w:rsidRPr="009C1C62">
        <w:rPr>
          <w:rFonts w:ascii="Verdana" w:hAnsi="Verdana"/>
          <w:b/>
          <w:bCs/>
          <w:sz w:val="22"/>
          <w:szCs w:val="22"/>
        </w:rPr>
        <w:t>Level</w:t>
      </w:r>
      <w:r w:rsidRPr="009C1C62">
        <w:rPr>
          <w:rFonts w:ascii="Verdana" w:hAnsi="Verdana"/>
          <w:b/>
          <w:bCs/>
          <w:sz w:val="22"/>
          <w:szCs w:val="22"/>
        </w:rPr>
        <w:t xml:space="preserve"> I institutions of higher education. This report does not address</w:t>
      </w:r>
      <w:r w:rsidR="001E0D90" w:rsidRPr="009C1C62">
        <w:rPr>
          <w:rFonts w:ascii="Verdana" w:hAnsi="Verdana"/>
          <w:b/>
          <w:bCs/>
          <w:sz w:val="22"/>
          <w:szCs w:val="22"/>
        </w:rPr>
        <w:t xml:space="preserve"> compliance for</w:t>
      </w:r>
      <w:r w:rsidRPr="009C1C62">
        <w:rPr>
          <w:rFonts w:ascii="Verdana" w:hAnsi="Verdana"/>
          <w:b/>
          <w:bCs/>
          <w:sz w:val="22"/>
          <w:szCs w:val="22"/>
        </w:rPr>
        <w:t xml:space="preserve"> </w:t>
      </w:r>
      <w:r w:rsidR="001E0D90" w:rsidRPr="009C1C62">
        <w:rPr>
          <w:rFonts w:ascii="Verdana" w:hAnsi="Verdana"/>
          <w:b/>
          <w:bCs/>
          <w:sz w:val="22"/>
          <w:szCs w:val="22"/>
        </w:rPr>
        <w:t>Level II</w:t>
      </w:r>
      <w:r w:rsidR="00FA0854" w:rsidRPr="009C1C62">
        <w:rPr>
          <w:rFonts w:ascii="Verdana" w:hAnsi="Verdana"/>
          <w:b/>
          <w:bCs/>
          <w:sz w:val="22"/>
          <w:szCs w:val="22"/>
        </w:rPr>
        <w:t xml:space="preserve"> </w:t>
      </w:r>
      <w:r w:rsidRPr="009C1C62">
        <w:rPr>
          <w:rFonts w:ascii="Verdana" w:hAnsi="Verdana"/>
          <w:b/>
          <w:bCs/>
          <w:sz w:val="22"/>
          <w:szCs w:val="22"/>
        </w:rPr>
        <w:t xml:space="preserve">and </w:t>
      </w:r>
      <w:r w:rsidR="001E0D90" w:rsidRPr="009C1C62">
        <w:rPr>
          <w:rFonts w:ascii="Verdana" w:hAnsi="Verdana"/>
          <w:b/>
          <w:bCs/>
          <w:sz w:val="22"/>
          <w:szCs w:val="22"/>
        </w:rPr>
        <w:t>Level</w:t>
      </w:r>
      <w:r w:rsidRPr="009C1C62">
        <w:rPr>
          <w:rFonts w:ascii="Verdana" w:hAnsi="Verdana"/>
          <w:b/>
          <w:bCs/>
          <w:sz w:val="22"/>
          <w:szCs w:val="22"/>
        </w:rPr>
        <w:t xml:space="preserve"> II</w:t>
      </w:r>
      <w:r w:rsidR="001E0D90" w:rsidRPr="009C1C62">
        <w:rPr>
          <w:rFonts w:ascii="Verdana" w:hAnsi="Verdana"/>
          <w:b/>
          <w:bCs/>
          <w:sz w:val="22"/>
          <w:szCs w:val="22"/>
        </w:rPr>
        <w:t>I</w:t>
      </w:r>
      <w:r w:rsidRPr="009C1C62">
        <w:rPr>
          <w:rFonts w:ascii="Verdana" w:hAnsi="Verdana"/>
          <w:b/>
          <w:bCs/>
          <w:sz w:val="22"/>
          <w:szCs w:val="22"/>
        </w:rPr>
        <w:t xml:space="preserve"> institutions statutorily</w:t>
      </w:r>
      <w:r w:rsidR="009547AB" w:rsidRPr="009C1C62">
        <w:rPr>
          <w:rFonts w:ascii="Verdana" w:hAnsi="Verdana"/>
          <w:b/>
          <w:bCs/>
          <w:sz w:val="22"/>
          <w:szCs w:val="22"/>
        </w:rPr>
        <w:t xml:space="preserve"> exempted from compliance with </w:t>
      </w:r>
      <w:r w:rsidR="00C33F32">
        <w:rPr>
          <w:rFonts w:ascii="Verdana" w:hAnsi="Verdana"/>
          <w:b/>
          <w:bCs/>
          <w:sz w:val="22"/>
          <w:szCs w:val="22"/>
        </w:rPr>
        <w:t>c</w:t>
      </w:r>
      <w:r w:rsidR="0050196F" w:rsidRPr="009C1C62">
        <w:rPr>
          <w:rFonts w:ascii="Verdana" w:hAnsi="Verdana"/>
          <w:b/>
          <w:bCs/>
          <w:sz w:val="22"/>
          <w:szCs w:val="22"/>
        </w:rPr>
        <w:t>ommonwealth</w:t>
      </w:r>
      <w:r w:rsidR="00783B36" w:rsidRPr="009C1C62">
        <w:rPr>
          <w:rFonts w:ascii="Verdana" w:hAnsi="Verdana"/>
          <w:b/>
          <w:bCs/>
          <w:sz w:val="22"/>
          <w:szCs w:val="22"/>
        </w:rPr>
        <w:t xml:space="preserve"> </w:t>
      </w:r>
      <w:r w:rsidRPr="009C1C62">
        <w:rPr>
          <w:rFonts w:ascii="Verdana" w:hAnsi="Verdana"/>
          <w:b/>
          <w:bCs/>
          <w:sz w:val="22"/>
          <w:szCs w:val="22"/>
        </w:rPr>
        <w:t>policies and standards.</w:t>
      </w:r>
    </w:p>
    <w:p w14:paraId="6366CAC4" w14:textId="77777777" w:rsidR="00BA2A9A" w:rsidRPr="009C1C62" w:rsidRDefault="00BA2A9A" w:rsidP="00BA2A9A">
      <w:pPr>
        <w:rPr>
          <w:rFonts w:ascii="Verdana" w:hAnsi="Verdana"/>
          <w:b/>
          <w:sz w:val="22"/>
          <w:szCs w:val="22"/>
        </w:rPr>
      </w:pPr>
    </w:p>
    <w:p w14:paraId="797DA29B" w14:textId="4D46ECB4" w:rsidR="00B9567D" w:rsidRPr="00FE60A3" w:rsidRDefault="009D1682" w:rsidP="00BA2A9A">
      <w:pPr>
        <w:rPr>
          <w:rFonts w:ascii="Verdana" w:hAnsi="Verdana"/>
          <w:b/>
          <w:sz w:val="22"/>
          <w:szCs w:val="22"/>
        </w:rPr>
      </w:pPr>
      <w:r w:rsidRPr="009C1C62">
        <w:rPr>
          <w:rFonts w:ascii="Verdana" w:hAnsi="Verdana"/>
          <w:b/>
          <w:sz w:val="22"/>
          <w:szCs w:val="22"/>
        </w:rPr>
        <w:t>T</w:t>
      </w:r>
      <w:r w:rsidR="00CC532A" w:rsidRPr="009C1C62">
        <w:rPr>
          <w:rFonts w:ascii="Verdana" w:hAnsi="Verdana"/>
          <w:b/>
          <w:sz w:val="22"/>
          <w:szCs w:val="22"/>
        </w:rPr>
        <w:t xml:space="preserve">he CIO has established a </w:t>
      </w:r>
      <w:r w:rsidR="00A57409">
        <w:rPr>
          <w:rFonts w:ascii="Verdana" w:hAnsi="Verdana"/>
          <w:b/>
          <w:sz w:val="22"/>
          <w:szCs w:val="22"/>
        </w:rPr>
        <w:t>c</w:t>
      </w:r>
      <w:r w:rsidR="0050196F" w:rsidRPr="009C1C62">
        <w:rPr>
          <w:rFonts w:ascii="Verdana" w:hAnsi="Verdana"/>
          <w:b/>
          <w:sz w:val="22"/>
          <w:szCs w:val="22"/>
        </w:rPr>
        <w:t>ommonwealth</w:t>
      </w:r>
      <w:r w:rsidR="00CC532A" w:rsidRPr="009C1C62">
        <w:rPr>
          <w:rFonts w:ascii="Verdana" w:hAnsi="Verdana"/>
          <w:b/>
          <w:sz w:val="22"/>
          <w:szCs w:val="22"/>
        </w:rPr>
        <w:t xml:space="preserve"> </w:t>
      </w:r>
      <w:r w:rsidR="00A57409">
        <w:rPr>
          <w:rFonts w:ascii="Verdana" w:hAnsi="Verdana"/>
          <w:b/>
          <w:sz w:val="22"/>
          <w:szCs w:val="22"/>
        </w:rPr>
        <w:t>s</w:t>
      </w:r>
      <w:r w:rsidR="00CC532A" w:rsidRPr="009C1C62">
        <w:rPr>
          <w:rFonts w:ascii="Verdana" w:hAnsi="Verdana"/>
          <w:b/>
          <w:sz w:val="22"/>
          <w:szCs w:val="22"/>
        </w:rPr>
        <w:t xml:space="preserve">ecurity and </w:t>
      </w:r>
      <w:r w:rsidR="00A57409">
        <w:rPr>
          <w:rFonts w:ascii="Verdana" w:hAnsi="Verdana"/>
          <w:b/>
          <w:sz w:val="22"/>
          <w:szCs w:val="22"/>
        </w:rPr>
        <w:t>r</w:t>
      </w:r>
      <w:r w:rsidR="00CC532A" w:rsidRPr="009C1C62">
        <w:rPr>
          <w:rFonts w:ascii="Verdana" w:hAnsi="Verdana"/>
          <w:b/>
          <w:sz w:val="22"/>
          <w:szCs w:val="22"/>
        </w:rPr>
        <w:t xml:space="preserve">isk </w:t>
      </w:r>
      <w:r w:rsidR="00A57409">
        <w:rPr>
          <w:rFonts w:ascii="Verdana" w:hAnsi="Verdana"/>
          <w:b/>
          <w:sz w:val="22"/>
          <w:szCs w:val="22"/>
        </w:rPr>
        <w:t>m</w:t>
      </w:r>
      <w:r w:rsidR="00CC532A" w:rsidRPr="009C1C62">
        <w:rPr>
          <w:rFonts w:ascii="Verdana" w:hAnsi="Verdana"/>
          <w:b/>
          <w:sz w:val="22"/>
          <w:szCs w:val="22"/>
        </w:rPr>
        <w:t>anagement (CSRM) directorate within the Virginia Information Technologies Agency (VITA)</w:t>
      </w:r>
      <w:r w:rsidRPr="009C1C62">
        <w:rPr>
          <w:rFonts w:ascii="Verdana" w:hAnsi="Verdana"/>
          <w:b/>
          <w:sz w:val="22"/>
          <w:szCs w:val="22"/>
        </w:rPr>
        <w:t xml:space="preserve"> </w:t>
      </w:r>
      <w:r w:rsidRPr="00096C75">
        <w:rPr>
          <w:rFonts w:ascii="Verdana" w:hAnsi="Verdana"/>
          <w:b/>
          <w:sz w:val="22"/>
          <w:szCs w:val="22"/>
        </w:rPr>
        <w:t>to fulfill his information security duties under §2.2-2009</w:t>
      </w:r>
      <w:r w:rsidR="00CC532A" w:rsidRPr="00096C75">
        <w:rPr>
          <w:rFonts w:ascii="Verdana" w:hAnsi="Verdana"/>
          <w:b/>
          <w:sz w:val="22"/>
          <w:szCs w:val="22"/>
        </w:rPr>
        <w:t>.</w:t>
      </w:r>
      <w:r w:rsidR="00092933" w:rsidRPr="00C62A35">
        <w:rPr>
          <w:rFonts w:ascii="Verdana" w:hAnsi="Verdana"/>
          <w:b/>
          <w:sz w:val="22"/>
          <w:szCs w:val="22"/>
        </w:rPr>
        <w:t xml:space="preserve"> </w:t>
      </w:r>
      <w:r w:rsidR="00CC532A" w:rsidRPr="00AA3331">
        <w:rPr>
          <w:rFonts w:ascii="Verdana" w:hAnsi="Verdana"/>
          <w:b/>
          <w:sz w:val="22"/>
          <w:szCs w:val="22"/>
        </w:rPr>
        <w:t xml:space="preserve">CSRM is led by the </w:t>
      </w:r>
      <w:r w:rsidR="00A57409">
        <w:rPr>
          <w:rFonts w:ascii="Verdana" w:hAnsi="Verdana"/>
          <w:b/>
          <w:sz w:val="22"/>
          <w:szCs w:val="22"/>
        </w:rPr>
        <w:t>c</w:t>
      </w:r>
      <w:r w:rsidR="00073D0F" w:rsidRPr="00603B19">
        <w:rPr>
          <w:rFonts w:ascii="Verdana" w:hAnsi="Verdana"/>
          <w:b/>
          <w:sz w:val="22"/>
          <w:szCs w:val="22"/>
        </w:rPr>
        <w:t>ommonwealth</w:t>
      </w:r>
      <w:r w:rsidR="00CC532A" w:rsidRPr="00664A07">
        <w:rPr>
          <w:rFonts w:ascii="Verdana" w:hAnsi="Verdana"/>
          <w:b/>
          <w:sz w:val="22"/>
          <w:szCs w:val="22"/>
        </w:rPr>
        <w:t xml:space="preserve">’s </w:t>
      </w:r>
      <w:r w:rsidR="00302CD1" w:rsidRPr="000876EE">
        <w:rPr>
          <w:rFonts w:ascii="Verdana" w:hAnsi="Verdana"/>
          <w:b/>
          <w:sz w:val="22"/>
          <w:szCs w:val="22"/>
        </w:rPr>
        <w:t>c</w:t>
      </w:r>
      <w:r w:rsidR="00CC532A" w:rsidRPr="007D4ED1">
        <w:rPr>
          <w:rFonts w:ascii="Verdana" w:hAnsi="Verdana"/>
          <w:b/>
          <w:sz w:val="22"/>
          <w:szCs w:val="22"/>
        </w:rPr>
        <w:t xml:space="preserve">hief </w:t>
      </w:r>
      <w:r w:rsidR="00302CD1" w:rsidRPr="007D4ED1">
        <w:rPr>
          <w:rFonts w:ascii="Verdana" w:hAnsi="Verdana"/>
          <w:b/>
          <w:sz w:val="22"/>
          <w:szCs w:val="22"/>
        </w:rPr>
        <w:t>i</w:t>
      </w:r>
      <w:r w:rsidR="00CC532A" w:rsidRPr="007D4ED1">
        <w:rPr>
          <w:rFonts w:ascii="Verdana" w:hAnsi="Verdana"/>
          <w:b/>
          <w:sz w:val="22"/>
          <w:szCs w:val="22"/>
        </w:rPr>
        <w:t xml:space="preserve">nformation </w:t>
      </w:r>
      <w:r w:rsidR="00302CD1" w:rsidRPr="006919F6">
        <w:rPr>
          <w:rFonts w:ascii="Verdana" w:hAnsi="Verdana"/>
          <w:b/>
          <w:sz w:val="22"/>
          <w:szCs w:val="22"/>
        </w:rPr>
        <w:t>s</w:t>
      </w:r>
      <w:r w:rsidR="00CC532A" w:rsidRPr="007D5DA8">
        <w:rPr>
          <w:rFonts w:ascii="Verdana" w:hAnsi="Verdana"/>
          <w:b/>
          <w:sz w:val="22"/>
          <w:szCs w:val="22"/>
        </w:rPr>
        <w:t xml:space="preserve">ecurity </w:t>
      </w:r>
      <w:r w:rsidR="00302CD1" w:rsidRPr="00675FD4">
        <w:rPr>
          <w:rFonts w:ascii="Verdana" w:hAnsi="Verdana"/>
          <w:b/>
          <w:sz w:val="22"/>
          <w:szCs w:val="22"/>
        </w:rPr>
        <w:t>o</w:t>
      </w:r>
      <w:r w:rsidR="00CC532A" w:rsidRPr="00675FD4">
        <w:rPr>
          <w:rFonts w:ascii="Verdana" w:hAnsi="Verdana"/>
          <w:b/>
          <w:sz w:val="22"/>
          <w:szCs w:val="22"/>
        </w:rPr>
        <w:t xml:space="preserve">fficer (CISO). </w:t>
      </w:r>
      <w:bookmarkStart w:id="3" w:name="_Toc356466333"/>
    </w:p>
    <w:p w14:paraId="63D4199B" w14:textId="77777777" w:rsidR="001E0D90" w:rsidRPr="008863A6" w:rsidRDefault="001E0D90" w:rsidP="00BA2A9A">
      <w:pPr>
        <w:rPr>
          <w:rFonts w:ascii="Verdana" w:hAnsi="Verdana"/>
          <w:sz w:val="22"/>
          <w:szCs w:val="22"/>
        </w:rPr>
      </w:pPr>
    </w:p>
    <w:p w14:paraId="5AE72E8B" w14:textId="5DF9A05A" w:rsidR="001E0D90" w:rsidRPr="009C1C62" w:rsidRDefault="001E0D90" w:rsidP="00BA2A9A">
      <w:pPr>
        <w:rPr>
          <w:rFonts w:ascii="Verdana" w:hAnsi="Verdana"/>
          <w:sz w:val="22"/>
          <w:szCs w:val="22"/>
        </w:rPr>
      </w:pPr>
      <w:r w:rsidRPr="00FF0F84">
        <w:rPr>
          <w:rFonts w:ascii="Verdana" w:hAnsi="Verdana"/>
          <w:sz w:val="22"/>
          <w:szCs w:val="22"/>
        </w:rPr>
        <w:t>This report has been prepar</w:t>
      </w:r>
      <w:r w:rsidR="00C02B29" w:rsidRPr="00FF0F84">
        <w:rPr>
          <w:rFonts w:ascii="Verdana" w:hAnsi="Verdana"/>
          <w:sz w:val="22"/>
          <w:szCs w:val="22"/>
        </w:rPr>
        <w:t>ed by CSRM on behalf of the CIO. I</w:t>
      </w:r>
      <w:r w:rsidRPr="00A81710">
        <w:rPr>
          <w:rFonts w:ascii="Verdana" w:hAnsi="Verdana"/>
          <w:sz w:val="22"/>
          <w:szCs w:val="22"/>
        </w:rPr>
        <w:t>t follows a baseline created by CSRM in 2008 to assess the</w:t>
      </w:r>
      <w:r w:rsidRPr="004F0422">
        <w:rPr>
          <w:rFonts w:ascii="Verdana" w:hAnsi="Verdana"/>
          <w:sz w:val="22"/>
          <w:szCs w:val="22"/>
        </w:rPr>
        <w:t xml:space="preserve"> strength of agency information technology (IT) security programs that have been established to protect commonwealth data and systems. A detailed listing of </w:t>
      </w:r>
      <w:r w:rsidR="009B7F40" w:rsidRPr="004F0422">
        <w:rPr>
          <w:rFonts w:ascii="Verdana" w:hAnsi="Verdana"/>
          <w:sz w:val="22"/>
          <w:szCs w:val="22"/>
        </w:rPr>
        <w:t>the agencies</w:t>
      </w:r>
      <w:r w:rsidR="009B7F40">
        <w:rPr>
          <w:rFonts w:ascii="Verdana" w:hAnsi="Verdana"/>
          <w:sz w:val="22"/>
          <w:szCs w:val="22"/>
        </w:rPr>
        <w:t xml:space="preserve"> that were </w:t>
      </w:r>
      <w:r w:rsidRPr="004F0422">
        <w:rPr>
          <w:rFonts w:ascii="Verdana" w:hAnsi="Verdana"/>
          <w:sz w:val="22"/>
          <w:szCs w:val="22"/>
        </w:rPr>
        <w:t>assessed and their sec</w:t>
      </w:r>
      <w:r w:rsidRPr="009C1C62">
        <w:rPr>
          <w:rFonts w:ascii="Verdana" w:hAnsi="Verdana"/>
          <w:sz w:val="22"/>
          <w:szCs w:val="22"/>
        </w:rPr>
        <w:t>urity</w:t>
      </w:r>
      <w:r w:rsidR="006C6FCA" w:rsidRPr="009C1C62">
        <w:rPr>
          <w:rFonts w:ascii="Verdana" w:hAnsi="Verdana"/>
          <w:sz w:val="22"/>
          <w:szCs w:val="22"/>
        </w:rPr>
        <w:t xml:space="preserve"> compliance </w:t>
      </w:r>
      <w:r w:rsidR="009B7F40">
        <w:rPr>
          <w:rFonts w:ascii="Verdana" w:hAnsi="Verdana"/>
          <w:sz w:val="22"/>
          <w:szCs w:val="22"/>
        </w:rPr>
        <w:t xml:space="preserve">and </w:t>
      </w:r>
      <w:r w:rsidR="00C33F32">
        <w:rPr>
          <w:rFonts w:ascii="Verdana" w:hAnsi="Verdana"/>
          <w:sz w:val="22"/>
          <w:szCs w:val="22"/>
        </w:rPr>
        <w:t>c</w:t>
      </w:r>
      <w:r w:rsidR="009B7F40">
        <w:rPr>
          <w:rFonts w:ascii="Verdana" w:hAnsi="Verdana"/>
          <w:sz w:val="22"/>
          <w:szCs w:val="22"/>
        </w:rPr>
        <w:t>yber</w:t>
      </w:r>
      <w:r w:rsidR="00C33F32">
        <w:rPr>
          <w:rFonts w:ascii="Verdana" w:hAnsi="Verdana"/>
          <w:sz w:val="22"/>
          <w:szCs w:val="22"/>
        </w:rPr>
        <w:t>s</w:t>
      </w:r>
      <w:r w:rsidR="009B7F40">
        <w:rPr>
          <w:rFonts w:ascii="Verdana" w:hAnsi="Verdana"/>
          <w:sz w:val="22"/>
          <w:szCs w:val="22"/>
        </w:rPr>
        <w:t xml:space="preserve">ecurity </w:t>
      </w:r>
      <w:r w:rsidR="00336B4E">
        <w:rPr>
          <w:rFonts w:ascii="Verdana" w:hAnsi="Verdana"/>
          <w:sz w:val="22"/>
          <w:szCs w:val="22"/>
        </w:rPr>
        <w:t>f</w:t>
      </w:r>
      <w:r w:rsidR="009B7F40">
        <w:rPr>
          <w:rFonts w:ascii="Verdana" w:hAnsi="Verdana"/>
          <w:sz w:val="22"/>
          <w:szCs w:val="22"/>
        </w:rPr>
        <w:t>ramework assessment metrics are</w:t>
      </w:r>
      <w:r w:rsidR="006C6FCA" w:rsidRPr="009C1C62">
        <w:rPr>
          <w:rFonts w:ascii="Verdana" w:hAnsi="Verdana"/>
          <w:sz w:val="22"/>
          <w:szCs w:val="22"/>
        </w:rPr>
        <w:t xml:space="preserve"> </w:t>
      </w:r>
      <w:r w:rsidRPr="009C1C62">
        <w:rPr>
          <w:rFonts w:ascii="Verdana" w:hAnsi="Verdana"/>
          <w:sz w:val="22"/>
          <w:szCs w:val="22"/>
        </w:rPr>
        <w:t>found in the appendices of this document.</w:t>
      </w:r>
    </w:p>
    <w:p w14:paraId="4213BE03" w14:textId="77777777" w:rsidR="00603A5B" w:rsidRDefault="00603A5B" w:rsidP="00867CAF">
      <w:pPr>
        <w:contextualSpacing/>
        <w:jc w:val="both"/>
        <w:rPr>
          <w:rFonts w:ascii="Verdana" w:hAnsi="Verdana"/>
          <w:b/>
          <w:bCs/>
          <w:sz w:val="22"/>
          <w:szCs w:val="22"/>
        </w:rPr>
      </w:pPr>
    </w:p>
    <w:p w14:paraId="0A262F73" w14:textId="5986E570" w:rsidR="00603A5B" w:rsidRDefault="0075299C" w:rsidP="00336B4E">
      <w:pPr>
        <w:contextualSpacing/>
        <w:rPr>
          <w:rFonts w:ascii="Verdana" w:hAnsi="Verdana"/>
          <w:sz w:val="22"/>
          <w:szCs w:val="22"/>
        </w:rPr>
      </w:pPr>
      <w:r>
        <w:rPr>
          <w:rFonts w:ascii="Verdana" w:hAnsi="Verdana"/>
          <w:b/>
          <w:sz w:val="22"/>
          <w:szCs w:val="22"/>
        </w:rPr>
        <w:t>There were significant personnel changes in i</w:t>
      </w:r>
      <w:r w:rsidR="0023157F">
        <w:rPr>
          <w:rFonts w:ascii="Verdana" w:hAnsi="Verdana"/>
          <w:b/>
          <w:sz w:val="22"/>
          <w:szCs w:val="22"/>
        </w:rPr>
        <w:t xml:space="preserve">nformation security officers </w:t>
      </w:r>
      <w:r>
        <w:rPr>
          <w:rFonts w:ascii="Verdana" w:hAnsi="Verdana"/>
          <w:b/>
          <w:sz w:val="22"/>
          <w:szCs w:val="22"/>
        </w:rPr>
        <w:t xml:space="preserve">throughout the </w:t>
      </w:r>
      <w:r w:rsidR="0023157F">
        <w:rPr>
          <w:rFonts w:ascii="Verdana" w:hAnsi="Verdana"/>
          <w:b/>
          <w:sz w:val="22"/>
          <w:szCs w:val="22"/>
        </w:rPr>
        <w:t>commonwealth</w:t>
      </w:r>
      <w:r w:rsidR="00CB2EC2" w:rsidRPr="00867CAF">
        <w:rPr>
          <w:rFonts w:ascii="Verdana" w:hAnsi="Verdana"/>
          <w:b/>
          <w:sz w:val="22"/>
          <w:szCs w:val="22"/>
        </w:rPr>
        <w:t xml:space="preserve">. </w:t>
      </w:r>
      <w:r w:rsidR="00603A5B">
        <w:rPr>
          <w:rFonts w:ascii="Verdana" w:hAnsi="Verdana"/>
          <w:sz w:val="22"/>
          <w:szCs w:val="22"/>
        </w:rPr>
        <w:t xml:space="preserve">In 2018, commonwealth agencies </w:t>
      </w:r>
      <w:r w:rsidR="00F65E66">
        <w:rPr>
          <w:rFonts w:ascii="Verdana" w:hAnsi="Verdana"/>
          <w:sz w:val="22"/>
          <w:szCs w:val="22"/>
        </w:rPr>
        <w:t xml:space="preserve">appointed </w:t>
      </w:r>
      <w:r w:rsidR="00FB0488">
        <w:rPr>
          <w:rFonts w:ascii="Verdana" w:hAnsi="Verdana"/>
          <w:sz w:val="22"/>
          <w:szCs w:val="22"/>
        </w:rPr>
        <w:t>13</w:t>
      </w:r>
      <w:r w:rsidR="00F65E66">
        <w:rPr>
          <w:rFonts w:ascii="Verdana" w:hAnsi="Verdana"/>
          <w:sz w:val="22"/>
          <w:szCs w:val="22"/>
        </w:rPr>
        <w:t xml:space="preserve"> new</w:t>
      </w:r>
      <w:r w:rsidR="00FB0488">
        <w:rPr>
          <w:rFonts w:ascii="Verdana" w:hAnsi="Verdana"/>
          <w:sz w:val="22"/>
          <w:szCs w:val="22"/>
        </w:rPr>
        <w:t xml:space="preserve"> </w:t>
      </w:r>
      <w:r w:rsidR="00603A5B">
        <w:rPr>
          <w:rFonts w:ascii="Verdana" w:hAnsi="Verdana"/>
          <w:sz w:val="22"/>
          <w:szCs w:val="22"/>
        </w:rPr>
        <w:t>information security officers</w:t>
      </w:r>
      <w:r w:rsidR="00FB0488">
        <w:rPr>
          <w:rFonts w:ascii="Verdana" w:hAnsi="Verdana"/>
          <w:sz w:val="22"/>
          <w:szCs w:val="22"/>
        </w:rPr>
        <w:t xml:space="preserve"> (ISOs), which represent</w:t>
      </w:r>
      <w:r w:rsidR="0023157F">
        <w:rPr>
          <w:rFonts w:ascii="Verdana" w:hAnsi="Verdana"/>
          <w:sz w:val="22"/>
          <w:szCs w:val="22"/>
        </w:rPr>
        <w:t>ed</w:t>
      </w:r>
      <w:r w:rsidR="00FB0488">
        <w:rPr>
          <w:rFonts w:ascii="Verdana" w:hAnsi="Verdana"/>
          <w:sz w:val="22"/>
          <w:szCs w:val="22"/>
        </w:rPr>
        <w:t xml:space="preserve"> 17% of all the ISOs in the commonwealth</w:t>
      </w:r>
      <w:r w:rsidR="00CB2EC2">
        <w:rPr>
          <w:rFonts w:ascii="Verdana" w:hAnsi="Verdana"/>
          <w:sz w:val="22"/>
          <w:szCs w:val="22"/>
        </w:rPr>
        <w:t xml:space="preserve">. </w:t>
      </w:r>
      <w:r w:rsidR="00D36170">
        <w:rPr>
          <w:rFonts w:ascii="Verdana" w:hAnsi="Verdana"/>
          <w:sz w:val="22"/>
          <w:szCs w:val="22"/>
        </w:rPr>
        <w:t>This turnover is unusually high for the commonwealth and will result in knowledge loss within the information security community</w:t>
      </w:r>
      <w:r>
        <w:rPr>
          <w:rFonts w:ascii="Verdana" w:hAnsi="Verdana"/>
          <w:sz w:val="22"/>
          <w:szCs w:val="22"/>
        </w:rPr>
        <w:t xml:space="preserve">. </w:t>
      </w:r>
      <w:r w:rsidR="00D36170">
        <w:rPr>
          <w:rFonts w:ascii="Verdana" w:hAnsi="Verdana"/>
          <w:sz w:val="22"/>
          <w:szCs w:val="22"/>
        </w:rPr>
        <w:t>There will be a period of time where ISOs will need to be trained on how to work within the agency and how to manage a commonwealth information security program.  CSRM has been actively working with new ISOs as they are coming on board and will work to get them trained up as soon as possible.</w:t>
      </w:r>
    </w:p>
    <w:p w14:paraId="1E141E46" w14:textId="77777777" w:rsidR="00867CAF" w:rsidRDefault="00867CAF" w:rsidP="00336B4E">
      <w:pPr>
        <w:contextualSpacing/>
        <w:rPr>
          <w:rFonts w:ascii="Verdana" w:hAnsi="Verdana"/>
          <w:sz w:val="22"/>
          <w:szCs w:val="22"/>
        </w:rPr>
      </w:pPr>
    </w:p>
    <w:p w14:paraId="1FDC37C3" w14:textId="217532CD" w:rsidR="00603A5B" w:rsidRDefault="00CB2EC2" w:rsidP="00336B4E">
      <w:pPr>
        <w:contextualSpacing/>
        <w:rPr>
          <w:rFonts w:ascii="Verdana" w:hAnsi="Verdana"/>
          <w:sz w:val="22"/>
          <w:szCs w:val="22"/>
        </w:rPr>
      </w:pPr>
      <w:r w:rsidRPr="00867CAF">
        <w:rPr>
          <w:rFonts w:ascii="Verdana" w:hAnsi="Verdana"/>
          <w:b/>
          <w:sz w:val="22"/>
          <w:szCs w:val="22"/>
        </w:rPr>
        <w:t>There were significant c</w:t>
      </w:r>
      <w:r w:rsidR="00603A5B" w:rsidRPr="00867CAF">
        <w:rPr>
          <w:rFonts w:ascii="Verdana" w:hAnsi="Verdana"/>
          <w:b/>
          <w:sz w:val="22"/>
          <w:szCs w:val="22"/>
        </w:rPr>
        <w:t>hanges to infrastructure services</w:t>
      </w:r>
      <w:r w:rsidRPr="00867CAF">
        <w:rPr>
          <w:rFonts w:ascii="Verdana" w:hAnsi="Verdana"/>
          <w:b/>
          <w:sz w:val="22"/>
          <w:szCs w:val="22"/>
        </w:rPr>
        <w:t xml:space="preserve"> in the commonwealth</w:t>
      </w:r>
      <w:r w:rsidRPr="008B79BB">
        <w:rPr>
          <w:rFonts w:ascii="Verdana" w:hAnsi="Verdana"/>
          <w:sz w:val="22"/>
          <w:szCs w:val="22"/>
        </w:rPr>
        <w:t>.</w:t>
      </w:r>
      <w:r>
        <w:rPr>
          <w:rFonts w:ascii="Verdana" w:hAnsi="Verdana"/>
          <w:sz w:val="22"/>
          <w:szCs w:val="22"/>
        </w:rPr>
        <w:t xml:space="preserve"> </w:t>
      </w:r>
      <w:r w:rsidR="008C2095">
        <w:rPr>
          <w:rFonts w:ascii="Verdana" w:hAnsi="Verdana"/>
          <w:sz w:val="22"/>
          <w:szCs w:val="22"/>
        </w:rPr>
        <w:t>T</w:t>
      </w:r>
      <w:r w:rsidR="001D2504">
        <w:rPr>
          <w:rFonts w:ascii="Verdana" w:hAnsi="Verdana"/>
          <w:sz w:val="22"/>
          <w:szCs w:val="22"/>
        </w:rPr>
        <w:t xml:space="preserve">he commonwealth </w:t>
      </w:r>
      <w:r w:rsidR="008C2095">
        <w:rPr>
          <w:rFonts w:ascii="Verdana" w:hAnsi="Verdana"/>
          <w:sz w:val="22"/>
          <w:szCs w:val="22"/>
        </w:rPr>
        <w:t xml:space="preserve">moved from a single provider infrastructure environment to a multisourcing service integrator </w:t>
      </w:r>
      <w:r w:rsidR="00703DE1">
        <w:rPr>
          <w:rFonts w:ascii="Verdana" w:hAnsi="Verdana"/>
          <w:sz w:val="22"/>
          <w:szCs w:val="22"/>
        </w:rPr>
        <w:t xml:space="preserve">(MSI) </w:t>
      </w:r>
      <w:r w:rsidR="008C2095">
        <w:rPr>
          <w:rFonts w:ascii="Verdana" w:hAnsi="Verdana"/>
          <w:sz w:val="22"/>
          <w:szCs w:val="22"/>
        </w:rPr>
        <w:t xml:space="preserve">model with </w:t>
      </w:r>
      <w:r w:rsidR="0041499C">
        <w:rPr>
          <w:rFonts w:ascii="Verdana" w:hAnsi="Verdana"/>
          <w:sz w:val="22"/>
          <w:szCs w:val="22"/>
        </w:rPr>
        <w:t>multiple</w:t>
      </w:r>
      <w:r w:rsidR="008C2095">
        <w:rPr>
          <w:rFonts w:ascii="Verdana" w:hAnsi="Verdana"/>
          <w:sz w:val="22"/>
          <w:szCs w:val="22"/>
        </w:rPr>
        <w:t xml:space="preserve"> </w:t>
      </w:r>
      <w:r w:rsidR="00F636F6">
        <w:rPr>
          <w:rFonts w:ascii="Verdana" w:hAnsi="Verdana"/>
          <w:sz w:val="22"/>
          <w:szCs w:val="22"/>
        </w:rPr>
        <w:t>supplier</w:t>
      </w:r>
      <w:r w:rsidR="008C2095">
        <w:rPr>
          <w:rFonts w:ascii="Verdana" w:hAnsi="Verdana"/>
          <w:sz w:val="22"/>
          <w:szCs w:val="22"/>
        </w:rPr>
        <w:t xml:space="preserve"> providing</w:t>
      </w:r>
      <w:r w:rsidR="0041499C">
        <w:rPr>
          <w:rFonts w:ascii="Verdana" w:hAnsi="Verdana"/>
          <w:sz w:val="22"/>
          <w:szCs w:val="22"/>
        </w:rPr>
        <w:t xml:space="preserve"> services to the commonwealth, including </w:t>
      </w:r>
      <w:r w:rsidR="008C2095">
        <w:rPr>
          <w:rFonts w:ascii="Verdana" w:hAnsi="Verdana"/>
          <w:sz w:val="22"/>
          <w:szCs w:val="22"/>
        </w:rPr>
        <w:t xml:space="preserve">managed security services, server storage and data center, voice and data network, </w:t>
      </w:r>
      <w:r w:rsidR="0041499C">
        <w:rPr>
          <w:rFonts w:ascii="Verdana" w:hAnsi="Verdana"/>
          <w:sz w:val="22"/>
          <w:szCs w:val="22"/>
        </w:rPr>
        <w:t>mainframe, messaging, end</w:t>
      </w:r>
      <w:r w:rsidR="00C33F32">
        <w:rPr>
          <w:rFonts w:ascii="Verdana" w:hAnsi="Verdana"/>
          <w:sz w:val="22"/>
          <w:szCs w:val="22"/>
        </w:rPr>
        <w:t>-</w:t>
      </w:r>
      <w:r w:rsidR="0041499C">
        <w:rPr>
          <w:rFonts w:ascii="Verdana" w:hAnsi="Verdana"/>
          <w:sz w:val="22"/>
          <w:szCs w:val="22"/>
        </w:rPr>
        <w:t xml:space="preserve">user support </w:t>
      </w:r>
      <w:r w:rsidR="008C2095">
        <w:rPr>
          <w:rFonts w:ascii="Verdana" w:hAnsi="Verdana"/>
          <w:sz w:val="22"/>
          <w:szCs w:val="22"/>
        </w:rPr>
        <w:t xml:space="preserve">and managed print services. </w:t>
      </w:r>
      <w:r w:rsidR="00F8312C">
        <w:rPr>
          <w:rFonts w:ascii="Verdana" w:hAnsi="Verdana"/>
          <w:sz w:val="22"/>
          <w:szCs w:val="22"/>
        </w:rPr>
        <w:t xml:space="preserve">As with any transition of services there is an increase in risk to services not functioning as expected or lack of understanding of risk introduced during change.  </w:t>
      </w:r>
      <w:r w:rsidR="0041499C">
        <w:rPr>
          <w:rFonts w:ascii="Verdana" w:hAnsi="Verdana"/>
          <w:sz w:val="22"/>
          <w:szCs w:val="22"/>
        </w:rPr>
        <w:t xml:space="preserve">CSRM </w:t>
      </w:r>
      <w:r w:rsidR="00F8312C">
        <w:rPr>
          <w:rFonts w:ascii="Verdana" w:hAnsi="Verdana"/>
          <w:sz w:val="22"/>
          <w:szCs w:val="22"/>
        </w:rPr>
        <w:t xml:space="preserve">is monitoring for the introduction of new risks as well as the looking for improvements in managing risks and operations.  This </w:t>
      </w:r>
      <w:r w:rsidR="00322A71">
        <w:rPr>
          <w:rFonts w:ascii="Verdana" w:hAnsi="Verdana"/>
          <w:sz w:val="22"/>
          <w:szCs w:val="22"/>
        </w:rPr>
        <w:t>monitor</w:t>
      </w:r>
      <w:r w:rsidR="00F8312C">
        <w:rPr>
          <w:rFonts w:ascii="Verdana" w:hAnsi="Verdana"/>
          <w:sz w:val="22"/>
          <w:szCs w:val="22"/>
        </w:rPr>
        <w:t>ing</w:t>
      </w:r>
      <w:r w:rsidR="00322A71">
        <w:rPr>
          <w:rFonts w:ascii="Verdana" w:hAnsi="Verdana"/>
          <w:sz w:val="22"/>
          <w:szCs w:val="22"/>
        </w:rPr>
        <w:t xml:space="preserve"> </w:t>
      </w:r>
      <w:r w:rsidR="00F8312C">
        <w:rPr>
          <w:rFonts w:ascii="Verdana" w:hAnsi="Verdana"/>
          <w:sz w:val="22"/>
          <w:szCs w:val="22"/>
        </w:rPr>
        <w:t>occurs</w:t>
      </w:r>
      <w:r w:rsidR="00336B4E">
        <w:rPr>
          <w:rFonts w:ascii="Verdana" w:hAnsi="Verdana"/>
          <w:sz w:val="22"/>
          <w:szCs w:val="22"/>
        </w:rPr>
        <w:t xml:space="preserve"> </w:t>
      </w:r>
      <w:r w:rsidR="00322A71">
        <w:rPr>
          <w:rFonts w:ascii="Verdana" w:hAnsi="Verdana"/>
          <w:sz w:val="22"/>
          <w:szCs w:val="22"/>
        </w:rPr>
        <w:t>in sev</w:t>
      </w:r>
      <w:r w:rsidR="0065355A">
        <w:rPr>
          <w:rFonts w:ascii="Verdana" w:hAnsi="Verdana"/>
          <w:sz w:val="22"/>
          <w:szCs w:val="22"/>
        </w:rPr>
        <w:t xml:space="preserve">eral ways, including the </w:t>
      </w:r>
      <w:r w:rsidR="00F8312C">
        <w:rPr>
          <w:rFonts w:ascii="Verdana" w:hAnsi="Verdana"/>
          <w:sz w:val="22"/>
          <w:szCs w:val="22"/>
        </w:rPr>
        <w:t>managing the information technology risk within the program, implementation of</w:t>
      </w:r>
      <w:r w:rsidR="00322A71">
        <w:rPr>
          <w:rFonts w:ascii="Verdana" w:hAnsi="Verdana"/>
          <w:sz w:val="22"/>
          <w:szCs w:val="22"/>
        </w:rPr>
        <w:t xml:space="preserve"> system security plans, </w:t>
      </w:r>
      <w:r w:rsidR="00F8312C">
        <w:rPr>
          <w:rFonts w:ascii="Verdana" w:hAnsi="Verdana"/>
          <w:sz w:val="22"/>
          <w:szCs w:val="22"/>
        </w:rPr>
        <w:t xml:space="preserve">ensuring </w:t>
      </w:r>
      <w:r w:rsidR="0065355A">
        <w:rPr>
          <w:rFonts w:ascii="Verdana" w:hAnsi="Verdana"/>
          <w:sz w:val="22"/>
          <w:szCs w:val="22"/>
        </w:rPr>
        <w:t xml:space="preserve">audits of </w:t>
      </w:r>
      <w:r w:rsidR="00F636F6">
        <w:rPr>
          <w:rFonts w:ascii="Verdana" w:hAnsi="Verdana"/>
          <w:sz w:val="22"/>
          <w:szCs w:val="22"/>
        </w:rPr>
        <w:t>supplier</w:t>
      </w:r>
      <w:r w:rsidR="00C33F32">
        <w:rPr>
          <w:rFonts w:ascii="Verdana" w:hAnsi="Verdana"/>
          <w:sz w:val="22"/>
          <w:szCs w:val="22"/>
        </w:rPr>
        <w:t xml:space="preserve"> </w:t>
      </w:r>
      <w:r w:rsidR="00322A71">
        <w:rPr>
          <w:rFonts w:ascii="Verdana" w:hAnsi="Verdana"/>
          <w:sz w:val="22"/>
          <w:szCs w:val="22"/>
        </w:rPr>
        <w:t xml:space="preserve">IT systems, and </w:t>
      </w:r>
      <w:r w:rsidR="0065355A">
        <w:rPr>
          <w:rFonts w:ascii="Verdana" w:hAnsi="Verdana"/>
          <w:sz w:val="22"/>
          <w:szCs w:val="22"/>
        </w:rPr>
        <w:t xml:space="preserve">reviewing </w:t>
      </w:r>
      <w:r w:rsidR="00F8312C">
        <w:rPr>
          <w:rFonts w:ascii="Verdana" w:hAnsi="Verdana"/>
          <w:sz w:val="22"/>
          <w:szCs w:val="22"/>
        </w:rPr>
        <w:t xml:space="preserve">adequacy of the </w:t>
      </w:r>
      <w:r w:rsidR="0065355A">
        <w:rPr>
          <w:rFonts w:ascii="Verdana" w:hAnsi="Verdana"/>
          <w:sz w:val="22"/>
          <w:szCs w:val="22"/>
        </w:rPr>
        <w:t xml:space="preserve">remediation plans for </w:t>
      </w:r>
      <w:r w:rsidR="00F636F6">
        <w:rPr>
          <w:rFonts w:ascii="Verdana" w:hAnsi="Verdana"/>
          <w:sz w:val="22"/>
          <w:szCs w:val="22"/>
        </w:rPr>
        <w:t>supplier</w:t>
      </w:r>
      <w:r w:rsidR="00C33F32">
        <w:rPr>
          <w:rFonts w:ascii="Verdana" w:hAnsi="Verdana"/>
          <w:sz w:val="22"/>
          <w:szCs w:val="22"/>
        </w:rPr>
        <w:t xml:space="preserve"> </w:t>
      </w:r>
      <w:r w:rsidR="00322A71">
        <w:rPr>
          <w:rFonts w:ascii="Verdana" w:hAnsi="Verdana"/>
          <w:sz w:val="22"/>
          <w:szCs w:val="22"/>
        </w:rPr>
        <w:t xml:space="preserve">IT security audit findings. </w:t>
      </w:r>
      <w:r w:rsidR="00F8312C">
        <w:rPr>
          <w:rFonts w:ascii="Verdana" w:hAnsi="Verdana"/>
          <w:sz w:val="22"/>
          <w:szCs w:val="22"/>
        </w:rPr>
        <w:t xml:space="preserve">CSRM is in the process of developing the necessary risk management and security program monitoring to ensure the environment is maintaining an adequate risk posture with functioning security controls. </w:t>
      </w:r>
    </w:p>
    <w:p w14:paraId="5783A4F9" w14:textId="77777777" w:rsidR="008B79BB" w:rsidRPr="008B79BB" w:rsidRDefault="008B79BB" w:rsidP="00336B4E">
      <w:pPr>
        <w:contextualSpacing/>
        <w:rPr>
          <w:rFonts w:ascii="Verdana" w:hAnsi="Verdana"/>
          <w:sz w:val="22"/>
          <w:szCs w:val="22"/>
        </w:rPr>
      </w:pPr>
    </w:p>
    <w:p w14:paraId="5B211C76" w14:textId="542CD146" w:rsidR="00D541E9" w:rsidRDefault="0030122D" w:rsidP="00336B4E">
      <w:pPr>
        <w:contextualSpacing/>
        <w:rPr>
          <w:rFonts w:ascii="Verdana" w:hAnsi="Verdana"/>
          <w:sz w:val="22"/>
          <w:szCs w:val="22"/>
        </w:rPr>
      </w:pPr>
      <w:r>
        <w:rPr>
          <w:rFonts w:ascii="Verdana" w:hAnsi="Verdana"/>
          <w:b/>
          <w:sz w:val="22"/>
          <w:szCs w:val="22"/>
        </w:rPr>
        <w:t xml:space="preserve">Security standards </w:t>
      </w:r>
      <w:r w:rsidR="00334FF7">
        <w:rPr>
          <w:rFonts w:ascii="Verdana" w:hAnsi="Verdana"/>
          <w:b/>
          <w:sz w:val="22"/>
          <w:szCs w:val="22"/>
        </w:rPr>
        <w:t>have been updated to address the changing threats to information security</w:t>
      </w:r>
      <w:r w:rsidR="00334FF7" w:rsidRPr="00334FF7">
        <w:rPr>
          <w:rFonts w:ascii="Verdana" w:hAnsi="Verdana"/>
          <w:sz w:val="22"/>
          <w:szCs w:val="22"/>
        </w:rPr>
        <w:t xml:space="preserve">. </w:t>
      </w:r>
      <w:r w:rsidR="00334FF7">
        <w:rPr>
          <w:rFonts w:ascii="Verdana" w:hAnsi="Verdana"/>
          <w:sz w:val="22"/>
          <w:szCs w:val="22"/>
        </w:rPr>
        <w:t>Standards are important to improve the security of information technology systems, networks and critical infrastructure. CSRM has made changes to the</w:t>
      </w:r>
      <w:r w:rsidR="00322A71">
        <w:rPr>
          <w:rFonts w:ascii="Verdana" w:hAnsi="Verdana"/>
          <w:sz w:val="22"/>
          <w:szCs w:val="22"/>
        </w:rPr>
        <w:t xml:space="preserve"> SEC501 and </w:t>
      </w:r>
      <w:r w:rsidR="00BA36DD">
        <w:rPr>
          <w:rFonts w:ascii="Verdana" w:hAnsi="Verdana"/>
          <w:sz w:val="22"/>
          <w:szCs w:val="22"/>
        </w:rPr>
        <w:t xml:space="preserve">SEC525 standards to further </w:t>
      </w:r>
      <w:r w:rsidR="00322A71">
        <w:rPr>
          <w:rFonts w:ascii="Verdana" w:hAnsi="Verdana"/>
          <w:sz w:val="22"/>
          <w:szCs w:val="22"/>
        </w:rPr>
        <w:t xml:space="preserve">clarify requirements for agencies and </w:t>
      </w:r>
      <w:r w:rsidR="00F636F6">
        <w:rPr>
          <w:rFonts w:ascii="Verdana" w:hAnsi="Verdana"/>
          <w:sz w:val="22"/>
          <w:szCs w:val="22"/>
        </w:rPr>
        <w:t>supplier</w:t>
      </w:r>
      <w:r w:rsidR="00322A71">
        <w:rPr>
          <w:rFonts w:ascii="Verdana" w:hAnsi="Verdana"/>
          <w:sz w:val="22"/>
          <w:szCs w:val="22"/>
        </w:rPr>
        <w:t xml:space="preserve">.  </w:t>
      </w:r>
      <w:r w:rsidR="00336B4E">
        <w:rPr>
          <w:rFonts w:ascii="Verdana" w:hAnsi="Verdana"/>
          <w:sz w:val="22"/>
          <w:szCs w:val="22"/>
        </w:rPr>
        <w:t>T</w:t>
      </w:r>
      <w:r w:rsidR="0065355A">
        <w:rPr>
          <w:rFonts w:ascii="Verdana" w:hAnsi="Verdana"/>
          <w:sz w:val="22"/>
          <w:szCs w:val="22"/>
        </w:rPr>
        <w:t xml:space="preserve">hese standards now require that the agency </w:t>
      </w:r>
      <w:r w:rsidR="00C33F32">
        <w:rPr>
          <w:rFonts w:ascii="Verdana" w:hAnsi="Verdana"/>
          <w:sz w:val="22"/>
          <w:szCs w:val="22"/>
        </w:rPr>
        <w:t>ISO</w:t>
      </w:r>
      <w:r w:rsidR="0065355A">
        <w:rPr>
          <w:rFonts w:ascii="Verdana" w:hAnsi="Verdana"/>
          <w:sz w:val="22"/>
          <w:szCs w:val="22"/>
        </w:rPr>
        <w:t xml:space="preserve"> report to the agency head. </w:t>
      </w:r>
      <w:r w:rsidR="00322A71">
        <w:rPr>
          <w:rFonts w:ascii="Verdana" w:hAnsi="Verdana"/>
          <w:sz w:val="22"/>
          <w:szCs w:val="22"/>
        </w:rPr>
        <w:t xml:space="preserve">In addition, </w:t>
      </w:r>
      <w:r w:rsidR="00C95D73">
        <w:rPr>
          <w:rFonts w:ascii="Verdana" w:hAnsi="Verdana"/>
          <w:sz w:val="22"/>
          <w:szCs w:val="22"/>
        </w:rPr>
        <w:t xml:space="preserve">updates to </w:t>
      </w:r>
      <w:r w:rsidR="006D0C0C">
        <w:rPr>
          <w:rFonts w:ascii="Verdana" w:hAnsi="Verdana"/>
          <w:sz w:val="22"/>
          <w:szCs w:val="22"/>
        </w:rPr>
        <w:t xml:space="preserve">the </w:t>
      </w:r>
      <w:r w:rsidR="00322A71">
        <w:rPr>
          <w:rFonts w:ascii="Verdana" w:hAnsi="Verdana"/>
          <w:sz w:val="22"/>
          <w:szCs w:val="22"/>
        </w:rPr>
        <w:t xml:space="preserve">SEC502 IT Security Audit Standard </w:t>
      </w:r>
      <w:r w:rsidR="00C95D73">
        <w:rPr>
          <w:rFonts w:ascii="Verdana" w:hAnsi="Verdana"/>
          <w:sz w:val="22"/>
          <w:szCs w:val="22"/>
        </w:rPr>
        <w:t>require</w:t>
      </w:r>
      <w:r w:rsidR="006D0C0C">
        <w:rPr>
          <w:rFonts w:ascii="Verdana" w:hAnsi="Verdana"/>
          <w:sz w:val="22"/>
          <w:szCs w:val="22"/>
        </w:rPr>
        <w:t xml:space="preserve"> that all</w:t>
      </w:r>
      <w:r w:rsidR="000930CC">
        <w:rPr>
          <w:rFonts w:ascii="Verdana" w:hAnsi="Verdana"/>
          <w:sz w:val="22"/>
          <w:szCs w:val="22"/>
        </w:rPr>
        <w:t xml:space="preserve"> IT security audits</w:t>
      </w:r>
      <w:r w:rsidR="006D0C0C">
        <w:rPr>
          <w:rFonts w:ascii="Verdana" w:hAnsi="Verdana"/>
          <w:sz w:val="22"/>
          <w:szCs w:val="22"/>
        </w:rPr>
        <w:t xml:space="preserve"> </w:t>
      </w:r>
      <w:r w:rsidR="00494484">
        <w:rPr>
          <w:rFonts w:ascii="Verdana" w:hAnsi="Verdana"/>
          <w:sz w:val="22"/>
          <w:szCs w:val="22"/>
        </w:rPr>
        <w:t>be</w:t>
      </w:r>
      <w:r w:rsidR="00C95D73">
        <w:rPr>
          <w:rFonts w:ascii="Verdana" w:hAnsi="Verdana"/>
          <w:sz w:val="22"/>
          <w:szCs w:val="22"/>
        </w:rPr>
        <w:t xml:space="preserve"> conducted using a </w:t>
      </w:r>
      <w:r w:rsidR="000930CC">
        <w:rPr>
          <w:rFonts w:ascii="Verdana" w:hAnsi="Verdana"/>
          <w:sz w:val="22"/>
          <w:szCs w:val="22"/>
        </w:rPr>
        <w:t>recogn</w:t>
      </w:r>
      <w:r w:rsidR="00C95D73">
        <w:rPr>
          <w:rFonts w:ascii="Verdana" w:hAnsi="Verdana"/>
          <w:sz w:val="22"/>
          <w:szCs w:val="22"/>
        </w:rPr>
        <w:t>ized auditing framework</w:t>
      </w:r>
      <w:r w:rsidR="000930CC">
        <w:rPr>
          <w:rFonts w:ascii="Verdana" w:hAnsi="Verdana"/>
          <w:sz w:val="22"/>
          <w:szCs w:val="22"/>
        </w:rPr>
        <w:t>.</w:t>
      </w:r>
      <w:r w:rsidR="00D541E9">
        <w:rPr>
          <w:rFonts w:ascii="Verdana" w:hAnsi="Verdana"/>
          <w:sz w:val="22"/>
          <w:szCs w:val="22"/>
        </w:rPr>
        <w:t xml:space="preserve">  </w:t>
      </w:r>
    </w:p>
    <w:p w14:paraId="63870DFB" w14:textId="77777777" w:rsidR="00D541E9" w:rsidRDefault="00D541E9" w:rsidP="008B79BB">
      <w:pPr>
        <w:contextualSpacing/>
        <w:jc w:val="both"/>
        <w:rPr>
          <w:rFonts w:ascii="Verdana" w:hAnsi="Verdana"/>
          <w:sz w:val="22"/>
          <w:szCs w:val="22"/>
        </w:rPr>
      </w:pPr>
    </w:p>
    <w:p w14:paraId="4DA658A8" w14:textId="06C42610" w:rsidR="00866433" w:rsidRPr="003B60CC" w:rsidRDefault="0007424C" w:rsidP="00866433">
      <w:pPr>
        <w:shd w:val="clear" w:color="auto" w:fill="FFFFFF"/>
        <w:spacing w:after="160" w:line="235" w:lineRule="atLeast"/>
        <w:rPr>
          <w:rFonts w:ascii="Verdana" w:hAnsi="Verdana" w:cs="Calibri"/>
          <w:color w:val="222222"/>
          <w:sz w:val="22"/>
          <w:szCs w:val="22"/>
        </w:rPr>
      </w:pPr>
      <w:r w:rsidRPr="001819DF">
        <w:rPr>
          <w:rFonts w:ascii="Verdana" w:hAnsi="Verdana"/>
          <w:b/>
          <w:sz w:val="22"/>
          <w:szCs w:val="22"/>
        </w:rPr>
        <w:t xml:space="preserve">Agencies using VITA </w:t>
      </w:r>
      <w:r w:rsidR="00B040A9">
        <w:rPr>
          <w:rFonts w:ascii="Verdana" w:hAnsi="Verdana"/>
          <w:b/>
          <w:sz w:val="22"/>
          <w:szCs w:val="22"/>
        </w:rPr>
        <w:t>centralized ISO and audit</w:t>
      </w:r>
      <w:r w:rsidR="00B040A9" w:rsidRPr="001819DF">
        <w:rPr>
          <w:rFonts w:ascii="Verdana" w:hAnsi="Verdana"/>
          <w:b/>
          <w:sz w:val="22"/>
          <w:szCs w:val="22"/>
        </w:rPr>
        <w:t xml:space="preserve"> </w:t>
      </w:r>
      <w:r w:rsidR="00C33F32">
        <w:rPr>
          <w:rFonts w:ascii="Verdana" w:hAnsi="Verdana"/>
          <w:b/>
          <w:sz w:val="22"/>
          <w:szCs w:val="22"/>
        </w:rPr>
        <w:t>s</w:t>
      </w:r>
      <w:r w:rsidRPr="001819DF">
        <w:rPr>
          <w:rFonts w:ascii="Verdana" w:hAnsi="Verdana"/>
          <w:b/>
          <w:sz w:val="22"/>
          <w:szCs w:val="22"/>
        </w:rPr>
        <w:t xml:space="preserve">ervices had improved </w:t>
      </w:r>
      <w:r w:rsidR="00F624E1">
        <w:rPr>
          <w:rFonts w:ascii="Verdana" w:hAnsi="Verdana"/>
          <w:b/>
          <w:sz w:val="22"/>
          <w:szCs w:val="22"/>
        </w:rPr>
        <w:t xml:space="preserve">audit and </w:t>
      </w:r>
      <w:r w:rsidRPr="001819DF">
        <w:rPr>
          <w:rFonts w:ascii="Verdana" w:hAnsi="Verdana"/>
          <w:b/>
          <w:sz w:val="22"/>
          <w:szCs w:val="22"/>
        </w:rPr>
        <w:t>risk metrics</w:t>
      </w:r>
      <w:r w:rsidR="00866433" w:rsidRPr="003B60CC">
        <w:rPr>
          <w:rFonts w:ascii="Verdana" w:hAnsi="Verdana" w:cs="Calibri"/>
          <w:color w:val="222222"/>
          <w:sz w:val="22"/>
          <w:szCs w:val="22"/>
        </w:rPr>
        <w:t>.</w:t>
      </w:r>
      <w:r w:rsidR="00866433">
        <w:rPr>
          <w:rFonts w:ascii="Verdana" w:hAnsi="Verdana" w:cs="Calibri"/>
          <w:color w:val="222222"/>
          <w:sz w:val="22"/>
          <w:szCs w:val="22"/>
        </w:rPr>
        <w:t xml:space="preserve"> T</w:t>
      </w:r>
      <w:r w:rsidR="00866433" w:rsidRPr="003B60CC">
        <w:rPr>
          <w:rFonts w:ascii="Verdana" w:hAnsi="Verdana" w:cs="Calibri"/>
          <w:color w:val="222222"/>
          <w:sz w:val="22"/>
          <w:szCs w:val="22"/>
        </w:rPr>
        <w:t xml:space="preserve">hese services assist agencies in improving the effectiveness of their IT security program and in complying with commonwealth IT security requirements. There are 32 signed clients in 2018 for the audit services, an increase of five clients from the prior year. For the agencies using this service, the percentage of sensitive systems audited over the last </w:t>
      </w:r>
      <w:r w:rsidR="00C33F32">
        <w:rPr>
          <w:rFonts w:ascii="Verdana" w:hAnsi="Verdana" w:cs="Calibri"/>
          <w:color w:val="222222"/>
          <w:sz w:val="22"/>
          <w:szCs w:val="22"/>
        </w:rPr>
        <w:t>three</w:t>
      </w:r>
      <w:r w:rsidR="00C33F32" w:rsidRPr="003B60CC">
        <w:rPr>
          <w:rFonts w:ascii="Verdana" w:hAnsi="Verdana" w:cs="Calibri"/>
          <w:color w:val="222222"/>
          <w:sz w:val="22"/>
          <w:szCs w:val="22"/>
        </w:rPr>
        <w:t xml:space="preserve"> </w:t>
      </w:r>
      <w:r w:rsidR="00866433" w:rsidRPr="003B60CC">
        <w:rPr>
          <w:rFonts w:ascii="Verdana" w:hAnsi="Verdana" w:cs="Calibri"/>
          <w:color w:val="222222"/>
          <w:sz w:val="22"/>
          <w:szCs w:val="22"/>
        </w:rPr>
        <w:t xml:space="preserve">years increased to 92% from last year’s 54%. We anticipate nearly all audits of sensitive systems for these agencies </w:t>
      </w:r>
      <w:r w:rsidR="00C33F32">
        <w:rPr>
          <w:rFonts w:ascii="Verdana" w:hAnsi="Verdana" w:cs="Calibri"/>
          <w:color w:val="222222"/>
          <w:sz w:val="22"/>
          <w:szCs w:val="22"/>
        </w:rPr>
        <w:t xml:space="preserve">to be </w:t>
      </w:r>
      <w:r w:rsidR="00866433" w:rsidRPr="003B60CC">
        <w:rPr>
          <w:rFonts w:ascii="Verdana" w:hAnsi="Verdana" w:cs="Calibri"/>
          <w:color w:val="222222"/>
          <w:sz w:val="22"/>
          <w:szCs w:val="22"/>
        </w:rPr>
        <w:t>completed by 2020. There are 33 agencies participating in the centralized ISO service. This is an increase of two additional agencies over the prior year. For these agencies, the percentage of risk assessments completed for sensitive systems has increased by 24</w:t>
      </w:r>
      <w:r w:rsidR="00C33F32">
        <w:rPr>
          <w:rFonts w:ascii="Verdana" w:hAnsi="Verdana" w:cs="Calibri"/>
          <w:color w:val="222222"/>
          <w:sz w:val="22"/>
          <w:szCs w:val="22"/>
        </w:rPr>
        <w:t>%</w:t>
      </w:r>
      <w:r w:rsidR="002B7A20">
        <w:rPr>
          <w:rFonts w:ascii="Verdana" w:hAnsi="Verdana" w:cs="Calibri"/>
          <w:color w:val="222222"/>
          <w:sz w:val="22"/>
          <w:szCs w:val="22"/>
        </w:rPr>
        <w:t xml:space="preserve"> </w:t>
      </w:r>
      <w:r w:rsidR="00C33F32">
        <w:rPr>
          <w:rFonts w:ascii="Verdana" w:hAnsi="Verdana" w:cs="Calibri"/>
          <w:color w:val="222222"/>
          <w:sz w:val="22"/>
          <w:szCs w:val="22"/>
        </w:rPr>
        <w:t xml:space="preserve">from </w:t>
      </w:r>
      <w:r w:rsidR="00866433" w:rsidRPr="003B60CC">
        <w:rPr>
          <w:rFonts w:ascii="Verdana" w:hAnsi="Verdana" w:cs="Calibri"/>
          <w:color w:val="222222"/>
          <w:sz w:val="22"/>
          <w:szCs w:val="22"/>
        </w:rPr>
        <w:t xml:space="preserve">last year. We anticipate nearly all of the risk assessments for agencies using the </w:t>
      </w:r>
      <w:r w:rsidR="00C33F32">
        <w:rPr>
          <w:rFonts w:ascii="Verdana" w:hAnsi="Verdana" w:cs="Calibri"/>
          <w:color w:val="222222"/>
          <w:sz w:val="22"/>
          <w:szCs w:val="22"/>
        </w:rPr>
        <w:t>s</w:t>
      </w:r>
      <w:r w:rsidR="00866433" w:rsidRPr="003B60CC">
        <w:rPr>
          <w:rFonts w:ascii="Verdana" w:hAnsi="Verdana" w:cs="Calibri"/>
          <w:color w:val="222222"/>
          <w:sz w:val="22"/>
          <w:szCs w:val="22"/>
        </w:rPr>
        <w:t xml:space="preserve">hared ISO service </w:t>
      </w:r>
      <w:r w:rsidR="00C33F32">
        <w:rPr>
          <w:rFonts w:ascii="Verdana" w:hAnsi="Verdana" w:cs="Calibri"/>
          <w:color w:val="222222"/>
          <w:sz w:val="22"/>
          <w:szCs w:val="22"/>
        </w:rPr>
        <w:t xml:space="preserve">to be </w:t>
      </w:r>
      <w:r w:rsidR="00866433" w:rsidRPr="003B60CC">
        <w:rPr>
          <w:rFonts w:ascii="Verdana" w:hAnsi="Verdana" w:cs="Calibri"/>
          <w:color w:val="222222"/>
          <w:sz w:val="22"/>
          <w:szCs w:val="22"/>
        </w:rPr>
        <w:t>complete by 2020. Lastly, the vulnerability scanning service assisted 77 agencies and performed more than 1,300 vulnerability scans each quarter of public-facing websites in 2018. CSRM worked with agencies to reduce their footprint by decommissioning legacy applications and moving sites behind the secure perimeter. The centralized security services complement each other to identify risks to commonwealth information and develop action plans to further safeguard the commonwealth’s information assets. Agencies participating in the centralized services should continue their work with CSRM personnel to continue to bolster the agencies’ information security programs.</w:t>
      </w:r>
    </w:p>
    <w:p w14:paraId="563C8087" w14:textId="77777777" w:rsidR="0007424C" w:rsidRPr="00377362" w:rsidRDefault="0007424C" w:rsidP="008B79BB">
      <w:pPr>
        <w:contextualSpacing/>
        <w:jc w:val="both"/>
        <w:rPr>
          <w:rFonts w:ascii="Verdana" w:hAnsi="Verdana"/>
          <w:sz w:val="22"/>
          <w:szCs w:val="22"/>
        </w:rPr>
      </w:pPr>
    </w:p>
    <w:p w14:paraId="6966F9EA" w14:textId="261C4195" w:rsidR="00CE58EC" w:rsidRDefault="00603A5B" w:rsidP="007C6614">
      <w:pPr>
        <w:rPr>
          <w:rFonts w:ascii="Verdana" w:hAnsi="Verdana"/>
          <w:sz w:val="22"/>
          <w:szCs w:val="22"/>
        </w:rPr>
      </w:pPr>
      <w:r w:rsidRPr="00B91C38">
        <w:rPr>
          <w:rFonts w:ascii="Verdana" w:hAnsi="Verdana"/>
          <w:b/>
          <w:sz w:val="22"/>
          <w:szCs w:val="22"/>
        </w:rPr>
        <w:t>Incident response playbook</w:t>
      </w:r>
      <w:r w:rsidR="007C6614">
        <w:rPr>
          <w:rFonts w:ascii="Verdana" w:hAnsi="Verdana"/>
          <w:b/>
          <w:sz w:val="22"/>
          <w:szCs w:val="22"/>
        </w:rPr>
        <w:t xml:space="preserve"> has</w:t>
      </w:r>
      <w:r w:rsidRPr="00B91C38">
        <w:rPr>
          <w:rFonts w:ascii="Verdana" w:hAnsi="Verdana"/>
          <w:b/>
          <w:sz w:val="22"/>
          <w:szCs w:val="22"/>
        </w:rPr>
        <w:t xml:space="preserve"> </w:t>
      </w:r>
      <w:r w:rsidR="007C6614">
        <w:rPr>
          <w:rFonts w:ascii="Verdana" w:hAnsi="Verdana"/>
          <w:b/>
          <w:sz w:val="22"/>
          <w:szCs w:val="22"/>
        </w:rPr>
        <w:t xml:space="preserve">adjusted </w:t>
      </w:r>
      <w:r w:rsidRPr="00B91C38">
        <w:rPr>
          <w:rFonts w:ascii="Verdana" w:hAnsi="Verdana"/>
          <w:b/>
          <w:sz w:val="22"/>
          <w:szCs w:val="22"/>
        </w:rPr>
        <w:t xml:space="preserve">with new </w:t>
      </w:r>
      <w:r w:rsidR="007C6614">
        <w:rPr>
          <w:rFonts w:ascii="Verdana" w:hAnsi="Verdana"/>
          <w:b/>
          <w:sz w:val="22"/>
          <w:szCs w:val="22"/>
        </w:rPr>
        <w:t xml:space="preserve">VITA </w:t>
      </w:r>
      <w:r w:rsidRPr="00B91C38">
        <w:rPr>
          <w:rFonts w:ascii="Verdana" w:hAnsi="Verdana"/>
          <w:b/>
          <w:sz w:val="22"/>
          <w:szCs w:val="22"/>
        </w:rPr>
        <w:t>service model</w:t>
      </w:r>
      <w:r w:rsidR="007C6614">
        <w:rPr>
          <w:rFonts w:ascii="Verdana" w:hAnsi="Verdana"/>
          <w:b/>
          <w:sz w:val="22"/>
          <w:szCs w:val="22"/>
        </w:rPr>
        <w:t xml:space="preserve">. </w:t>
      </w:r>
      <w:r w:rsidR="007C6614" w:rsidRPr="00A812C6">
        <w:rPr>
          <w:rFonts w:ascii="Verdana" w:hAnsi="Verdana"/>
          <w:sz w:val="22"/>
          <w:szCs w:val="22"/>
        </w:rPr>
        <w:t xml:space="preserve">The </w:t>
      </w:r>
      <w:r w:rsidR="00C33F32">
        <w:rPr>
          <w:rFonts w:ascii="Verdana" w:hAnsi="Verdana"/>
          <w:sz w:val="22"/>
          <w:szCs w:val="22"/>
        </w:rPr>
        <w:t>“</w:t>
      </w:r>
      <w:r w:rsidR="007C6614" w:rsidRPr="008302AD">
        <w:rPr>
          <w:rFonts w:ascii="Verdana" w:hAnsi="Verdana"/>
          <w:sz w:val="22"/>
          <w:szCs w:val="22"/>
        </w:rPr>
        <w:t>VITA Incident Response</w:t>
      </w:r>
      <w:r w:rsidR="00C33F32">
        <w:rPr>
          <w:rFonts w:ascii="Verdana" w:hAnsi="Verdana"/>
          <w:sz w:val="22"/>
          <w:szCs w:val="22"/>
        </w:rPr>
        <w:t>”</w:t>
      </w:r>
      <w:r w:rsidR="007C6614" w:rsidRPr="008302AD">
        <w:rPr>
          <w:rFonts w:ascii="Verdana" w:hAnsi="Verdana"/>
          <w:sz w:val="22"/>
          <w:szCs w:val="22"/>
        </w:rPr>
        <w:t xml:space="preserve"> </w:t>
      </w:r>
      <w:r w:rsidR="007C6614" w:rsidRPr="00A812C6">
        <w:rPr>
          <w:rFonts w:ascii="Verdana" w:hAnsi="Verdana"/>
          <w:sz w:val="22"/>
          <w:szCs w:val="22"/>
        </w:rPr>
        <w:t>playbook</w:t>
      </w:r>
      <w:r w:rsidR="007C6614" w:rsidRPr="008302AD">
        <w:rPr>
          <w:rFonts w:ascii="Verdana" w:hAnsi="Verdana"/>
          <w:sz w:val="22"/>
          <w:szCs w:val="22"/>
        </w:rPr>
        <w:t xml:space="preserve"> is a comprehensive document that details the processes that the CSRM </w:t>
      </w:r>
      <w:r w:rsidR="00C33F32">
        <w:rPr>
          <w:rFonts w:ascii="Verdana" w:hAnsi="Verdana"/>
          <w:sz w:val="22"/>
          <w:szCs w:val="22"/>
        </w:rPr>
        <w:t>computer security incident response team</w:t>
      </w:r>
      <w:r w:rsidR="00C33F32" w:rsidRPr="008302AD">
        <w:rPr>
          <w:rFonts w:ascii="Verdana" w:hAnsi="Verdana"/>
          <w:sz w:val="22"/>
          <w:szCs w:val="22"/>
        </w:rPr>
        <w:t xml:space="preserve"> </w:t>
      </w:r>
      <w:r w:rsidR="00C33F32">
        <w:rPr>
          <w:rFonts w:ascii="Verdana" w:hAnsi="Verdana"/>
          <w:sz w:val="22"/>
          <w:szCs w:val="22"/>
        </w:rPr>
        <w:t>(</w:t>
      </w:r>
      <w:r w:rsidR="007C6614" w:rsidRPr="008302AD">
        <w:rPr>
          <w:rFonts w:ascii="Verdana" w:hAnsi="Verdana"/>
          <w:sz w:val="22"/>
          <w:szCs w:val="22"/>
        </w:rPr>
        <w:t>CSIRT</w:t>
      </w:r>
      <w:r w:rsidR="00C33F32">
        <w:rPr>
          <w:rFonts w:ascii="Verdana" w:hAnsi="Verdana"/>
          <w:sz w:val="22"/>
          <w:szCs w:val="22"/>
        </w:rPr>
        <w:t>)</w:t>
      </w:r>
      <w:r w:rsidR="006D0C0C">
        <w:rPr>
          <w:rFonts w:ascii="Verdana" w:hAnsi="Verdana"/>
          <w:sz w:val="22"/>
          <w:szCs w:val="22"/>
        </w:rPr>
        <w:t xml:space="preserve"> </w:t>
      </w:r>
      <w:r w:rsidR="007C6614" w:rsidRPr="008302AD">
        <w:rPr>
          <w:rFonts w:ascii="Verdana" w:hAnsi="Verdana"/>
          <w:sz w:val="22"/>
          <w:szCs w:val="22"/>
        </w:rPr>
        <w:t>will utilize to</w:t>
      </w:r>
      <w:r w:rsidR="007C6614" w:rsidRPr="00A812C6">
        <w:rPr>
          <w:rFonts w:ascii="Verdana" w:hAnsi="Verdana"/>
          <w:sz w:val="22"/>
          <w:szCs w:val="22"/>
        </w:rPr>
        <w:t xml:space="preserve"> identify, contain, repair and recover from an incident. The playbook</w:t>
      </w:r>
      <w:r w:rsidR="007C6614" w:rsidRPr="008302AD">
        <w:rPr>
          <w:rFonts w:ascii="Verdana" w:hAnsi="Verdana"/>
          <w:sz w:val="22"/>
          <w:szCs w:val="22"/>
        </w:rPr>
        <w:t xml:space="preserve"> is written from the perspective of the </w:t>
      </w:r>
      <w:r w:rsidR="00C33F32">
        <w:rPr>
          <w:rFonts w:ascii="Verdana" w:hAnsi="Verdana"/>
          <w:sz w:val="22"/>
          <w:szCs w:val="22"/>
        </w:rPr>
        <w:t>m</w:t>
      </w:r>
      <w:r w:rsidR="007C6614" w:rsidRPr="008302AD">
        <w:rPr>
          <w:rFonts w:ascii="Verdana" w:hAnsi="Verdana"/>
          <w:sz w:val="22"/>
          <w:szCs w:val="22"/>
        </w:rPr>
        <w:t xml:space="preserve">anaged </w:t>
      </w:r>
      <w:r w:rsidR="00C33F32">
        <w:rPr>
          <w:rFonts w:ascii="Verdana" w:hAnsi="Verdana"/>
          <w:sz w:val="22"/>
          <w:szCs w:val="22"/>
        </w:rPr>
        <w:t>s</w:t>
      </w:r>
      <w:r w:rsidR="007C6614" w:rsidRPr="008302AD">
        <w:rPr>
          <w:rFonts w:ascii="Verdana" w:hAnsi="Verdana"/>
          <w:sz w:val="22"/>
          <w:szCs w:val="22"/>
        </w:rPr>
        <w:t xml:space="preserve">ecurity </w:t>
      </w:r>
      <w:r w:rsidR="00C33F32">
        <w:rPr>
          <w:rFonts w:ascii="Verdana" w:hAnsi="Verdana"/>
          <w:sz w:val="22"/>
          <w:szCs w:val="22"/>
        </w:rPr>
        <w:t>s</w:t>
      </w:r>
      <w:r w:rsidR="007C6614" w:rsidRPr="008302AD">
        <w:rPr>
          <w:rFonts w:ascii="Verdana" w:hAnsi="Verdana"/>
          <w:sz w:val="22"/>
          <w:szCs w:val="22"/>
        </w:rPr>
        <w:t xml:space="preserve">ervice </w:t>
      </w:r>
      <w:r w:rsidR="007C6614">
        <w:rPr>
          <w:rFonts w:ascii="Verdana" w:hAnsi="Verdana"/>
          <w:sz w:val="22"/>
          <w:szCs w:val="22"/>
        </w:rPr>
        <w:t xml:space="preserve">(MSS) </w:t>
      </w:r>
      <w:r w:rsidR="007C6614" w:rsidRPr="008302AD">
        <w:rPr>
          <w:rFonts w:ascii="Verdana" w:hAnsi="Verdana"/>
          <w:sz w:val="22"/>
          <w:szCs w:val="22"/>
        </w:rPr>
        <w:t>and incorporates standard incident scenario</w:t>
      </w:r>
      <w:r w:rsidR="007C6614">
        <w:rPr>
          <w:rFonts w:ascii="Verdana" w:hAnsi="Verdana"/>
          <w:sz w:val="22"/>
          <w:szCs w:val="22"/>
        </w:rPr>
        <w:t xml:space="preserve">s. As new </w:t>
      </w:r>
      <w:r w:rsidR="00F636F6">
        <w:rPr>
          <w:rFonts w:ascii="Verdana" w:hAnsi="Verdana"/>
          <w:sz w:val="22"/>
          <w:szCs w:val="22"/>
        </w:rPr>
        <w:t xml:space="preserve">supplier </w:t>
      </w:r>
      <w:r w:rsidR="007C6614">
        <w:rPr>
          <w:rFonts w:ascii="Verdana" w:hAnsi="Verdana"/>
          <w:sz w:val="22"/>
          <w:szCs w:val="22"/>
        </w:rPr>
        <w:t xml:space="preserve">are incorporated into the environment, the </w:t>
      </w:r>
      <w:r w:rsidR="00F636F6">
        <w:rPr>
          <w:rFonts w:ascii="Verdana" w:hAnsi="Verdana"/>
          <w:sz w:val="22"/>
          <w:szCs w:val="22"/>
        </w:rPr>
        <w:t>CSIRT</w:t>
      </w:r>
      <w:r w:rsidR="007C6614" w:rsidRPr="008302AD">
        <w:rPr>
          <w:rFonts w:ascii="Verdana" w:hAnsi="Verdana"/>
          <w:sz w:val="22"/>
          <w:szCs w:val="22"/>
        </w:rPr>
        <w:t xml:space="preserve"> reviews </w:t>
      </w:r>
      <w:r w:rsidR="00C95D73">
        <w:rPr>
          <w:rFonts w:ascii="Verdana" w:hAnsi="Verdana"/>
          <w:sz w:val="22"/>
          <w:szCs w:val="22"/>
        </w:rPr>
        <w:t>existing</w:t>
      </w:r>
      <w:r w:rsidR="007C6614" w:rsidRPr="008302AD">
        <w:rPr>
          <w:rFonts w:ascii="Verdana" w:hAnsi="Verdana"/>
          <w:sz w:val="22"/>
          <w:szCs w:val="22"/>
        </w:rPr>
        <w:t xml:space="preserve"> </w:t>
      </w:r>
      <w:r w:rsidR="00F636F6">
        <w:rPr>
          <w:rFonts w:ascii="Verdana" w:hAnsi="Verdana"/>
          <w:sz w:val="22"/>
          <w:szCs w:val="22"/>
        </w:rPr>
        <w:t>i</w:t>
      </w:r>
      <w:r w:rsidR="007C6614" w:rsidRPr="008302AD">
        <w:rPr>
          <w:rFonts w:ascii="Verdana" w:hAnsi="Verdana"/>
          <w:sz w:val="22"/>
          <w:szCs w:val="22"/>
        </w:rPr>
        <w:t xml:space="preserve">ncident </w:t>
      </w:r>
      <w:r w:rsidR="00F636F6">
        <w:rPr>
          <w:rFonts w:ascii="Verdana" w:hAnsi="Verdana"/>
          <w:sz w:val="22"/>
          <w:szCs w:val="22"/>
        </w:rPr>
        <w:t>r</w:t>
      </w:r>
      <w:r w:rsidR="007C6614" w:rsidRPr="008302AD">
        <w:rPr>
          <w:rFonts w:ascii="Verdana" w:hAnsi="Verdana"/>
          <w:sz w:val="22"/>
          <w:szCs w:val="22"/>
        </w:rPr>
        <w:t xml:space="preserve">esponse </w:t>
      </w:r>
      <w:r w:rsidR="00F636F6">
        <w:rPr>
          <w:rFonts w:ascii="Verdana" w:hAnsi="Verdana"/>
          <w:sz w:val="22"/>
          <w:szCs w:val="22"/>
        </w:rPr>
        <w:t>p</w:t>
      </w:r>
      <w:r w:rsidR="007C6614" w:rsidRPr="008302AD">
        <w:rPr>
          <w:rFonts w:ascii="Verdana" w:hAnsi="Verdana"/>
          <w:sz w:val="22"/>
          <w:szCs w:val="22"/>
        </w:rPr>
        <w:t>lans</w:t>
      </w:r>
      <w:r w:rsidR="00C95D73">
        <w:rPr>
          <w:rFonts w:ascii="Verdana" w:hAnsi="Verdana"/>
          <w:sz w:val="22"/>
          <w:szCs w:val="22"/>
        </w:rPr>
        <w:t xml:space="preserve">, </w:t>
      </w:r>
      <w:r w:rsidR="00AE6E18">
        <w:rPr>
          <w:rFonts w:ascii="Verdana" w:hAnsi="Verdana"/>
          <w:sz w:val="22"/>
          <w:szCs w:val="22"/>
        </w:rPr>
        <w:t>adjusts</w:t>
      </w:r>
      <w:r w:rsidR="007C6614">
        <w:rPr>
          <w:rFonts w:ascii="Verdana" w:hAnsi="Verdana"/>
          <w:sz w:val="22"/>
          <w:szCs w:val="22"/>
        </w:rPr>
        <w:t xml:space="preserve"> process</w:t>
      </w:r>
      <w:r w:rsidR="00C95D73">
        <w:rPr>
          <w:rFonts w:ascii="Verdana" w:hAnsi="Verdana"/>
          <w:sz w:val="22"/>
          <w:szCs w:val="22"/>
        </w:rPr>
        <w:t>es</w:t>
      </w:r>
      <w:r w:rsidR="007C6614">
        <w:rPr>
          <w:rFonts w:ascii="Verdana" w:hAnsi="Verdana"/>
          <w:sz w:val="22"/>
          <w:szCs w:val="22"/>
        </w:rPr>
        <w:t xml:space="preserve"> and </w:t>
      </w:r>
      <w:r w:rsidR="00C95D73">
        <w:rPr>
          <w:rFonts w:ascii="Verdana" w:hAnsi="Verdana"/>
          <w:sz w:val="22"/>
          <w:szCs w:val="22"/>
        </w:rPr>
        <w:t>modifies</w:t>
      </w:r>
      <w:r w:rsidR="007C6614">
        <w:rPr>
          <w:rFonts w:ascii="Verdana" w:hAnsi="Verdana"/>
          <w:sz w:val="22"/>
          <w:szCs w:val="22"/>
        </w:rPr>
        <w:t xml:space="preserve"> incident response playbooks </w:t>
      </w:r>
      <w:r w:rsidR="00C95D73">
        <w:rPr>
          <w:rFonts w:ascii="Verdana" w:hAnsi="Verdana"/>
          <w:sz w:val="22"/>
          <w:szCs w:val="22"/>
        </w:rPr>
        <w:t>so that they work efficiently with</w:t>
      </w:r>
      <w:r w:rsidR="007C6614">
        <w:rPr>
          <w:rFonts w:ascii="Verdana" w:hAnsi="Verdana"/>
          <w:sz w:val="22"/>
          <w:szCs w:val="22"/>
        </w:rPr>
        <w:t xml:space="preserve"> the other </w:t>
      </w:r>
      <w:r w:rsidR="00F636F6">
        <w:rPr>
          <w:rFonts w:ascii="Verdana" w:hAnsi="Verdana"/>
          <w:sz w:val="22"/>
          <w:szCs w:val="22"/>
        </w:rPr>
        <w:t>supplier</w:t>
      </w:r>
      <w:r w:rsidR="007C6614">
        <w:rPr>
          <w:rFonts w:ascii="Verdana" w:hAnsi="Verdana"/>
          <w:sz w:val="22"/>
          <w:szCs w:val="22"/>
        </w:rPr>
        <w:t xml:space="preserve"> and VITA.</w:t>
      </w:r>
      <w:r w:rsidR="007C6614" w:rsidRPr="008302AD">
        <w:rPr>
          <w:rFonts w:ascii="Verdana" w:hAnsi="Verdana"/>
          <w:sz w:val="22"/>
          <w:szCs w:val="22"/>
        </w:rPr>
        <w:t xml:space="preserve"> This coordination effort will promote</w:t>
      </w:r>
      <w:r w:rsidR="007C6614" w:rsidRPr="00A812C6">
        <w:rPr>
          <w:rFonts w:ascii="Verdana" w:hAnsi="Verdana"/>
          <w:sz w:val="22"/>
          <w:szCs w:val="22"/>
        </w:rPr>
        <w:t xml:space="preserve"> response preparedness, consistency and overall effectiveness of </w:t>
      </w:r>
      <w:r w:rsidR="007C6614">
        <w:rPr>
          <w:rFonts w:ascii="Verdana" w:hAnsi="Verdana"/>
          <w:sz w:val="22"/>
          <w:szCs w:val="22"/>
        </w:rPr>
        <w:t xml:space="preserve">the </w:t>
      </w:r>
      <w:r w:rsidR="007C6614" w:rsidRPr="00A812C6">
        <w:rPr>
          <w:rFonts w:ascii="Verdana" w:hAnsi="Verdana"/>
          <w:sz w:val="22"/>
          <w:szCs w:val="22"/>
        </w:rPr>
        <w:t>incident response</w:t>
      </w:r>
      <w:r w:rsidR="007C6614">
        <w:rPr>
          <w:rFonts w:ascii="Verdana" w:hAnsi="Verdana"/>
          <w:sz w:val="22"/>
          <w:szCs w:val="22"/>
        </w:rPr>
        <w:t xml:space="preserve"> program</w:t>
      </w:r>
      <w:r w:rsidR="007C6614" w:rsidRPr="008302AD">
        <w:rPr>
          <w:rFonts w:ascii="Verdana" w:hAnsi="Verdana"/>
          <w:sz w:val="22"/>
          <w:szCs w:val="22"/>
        </w:rPr>
        <w:t>.</w:t>
      </w:r>
      <w:r w:rsidR="007C6614" w:rsidRPr="00A812C6">
        <w:rPr>
          <w:rFonts w:ascii="Verdana" w:hAnsi="Verdana"/>
          <w:sz w:val="22"/>
          <w:szCs w:val="22"/>
        </w:rPr>
        <w:t xml:space="preserve"> </w:t>
      </w:r>
      <w:r w:rsidR="007C6614" w:rsidRPr="008302AD">
        <w:rPr>
          <w:rFonts w:ascii="Verdana" w:hAnsi="Verdana"/>
          <w:sz w:val="22"/>
          <w:szCs w:val="22"/>
        </w:rPr>
        <w:t xml:space="preserve">CSRM will use the CSIRT’s incident response </w:t>
      </w:r>
      <w:r w:rsidR="007C6614" w:rsidRPr="00A812C6">
        <w:rPr>
          <w:rFonts w:ascii="Verdana" w:hAnsi="Verdana"/>
          <w:sz w:val="22"/>
          <w:szCs w:val="22"/>
        </w:rPr>
        <w:t>playbook in our evaluation of agency incident response</w:t>
      </w:r>
      <w:r w:rsidR="007C6614" w:rsidRPr="008302AD">
        <w:rPr>
          <w:rFonts w:ascii="Verdana" w:hAnsi="Verdana"/>
          <w:sz w:val="22"/>
          <w:szCs w:val="22"/>
        </w:rPr>
        <w:t xml:space="preserve"> programs</w:t>
      </w:r>
      <w:r w:rsidR="007C6614" w:rsidRPr="00A812C6">
        <w:rPr>
          <w:rFonts w:ascii="Verdana" w:hAnsi="Verdana"/>
          <w:sz w:val="22"/>
          <w:szCs w:val="22"/>
        </w:rPr>
        <w:t>.</w:t>
      </w:r>
      <w:r w:rsidR="007C6614">
        <w:rPr>
          <w:rFonts w:ascii="Verdana" w:hAnsi="Verdana"/>
          <w:sz w:val="22"/>
          <w:szCs w:val="22"/>
        </w:rPr>
        <w:br/>
      </w:r>
    </w:p>
    <w:p w14:paraId="31AF7F7F" w14:textId="7651F6D0" w:rsidR="00603A5B" w:rsidRPr="008B79BB" w:rsidRDefault="007070DE" w:rsidP="00336B4E">
      <w:pPr>
        <w:spacing w:after="200"/>
        <w:contextualSpacing/>
        <w:rPr>
          <w:rFonts w:ascii="Verdana" w:hAnsi="Verdana"/>
          <w:sz w:val="22"/>
          <w:szCs w:val="22"/>
        </w:rPr>
      </w:pPr>
      <w:r w:rsidRPr="007070DE">
        <w:rPr>
          <w:rFonts w:ascii="Verdana" w:hAnsi="Verdana"/>
          <w:b/>
          <w:sz w:val="22"/>
          <w:szCs w:val="22"/>
        </w:rPr>
        <w:t>Virginia colleges and universities</w:t>
      </w:r>
      <w:r w:rsidR="001B02C1">
        <w:rPr>
          <w:rFonts w:ascii="Verdana" w:hAnsi="Verdana"/>
          <w:b/>
          <w:sz w:val="22"/>
          <w:szCs w:val="22"/>
        </w:rPr>
        <w:t xml:space="preserve"> continue to be targets of cyberattacks</w:t>
      </w:r>
      <w:r>
        <w:rPr>
          <w:rFonts w:ascii="Verdana" w:hAnsi="Verdana"/>
          <w:sz w:val="22"/>
          <w:szCs w:val="22"/>
        </w:rPr>
        <w:t xml:space="preserve">.  </w:t>
      </w:r>
      <w:r w:rsidR="00C95D73">
        <w:rPr>
          <w:rFonts w:ascii="Verdana" w:hAnsi="Verdana"/>
          <w:sz w:val="22"/>
          <w:szCs w:val="22"/>
        </w:rPr>
        <w:t xml:space="preserve">According to analysis from the </w:t>
      </w:r>
      <w:r w:rsidR="00565B6B">
        <w:rPr>
          <w:rFonts w:ascii="Verdana" w:hAnsi="Verdana"/>
          <w:sz w:val="22"/>
          <w:szCs w:val="22"/>
        </w:rPr>
        <w:t>Multi-State Information Sharing &amp; Analysis Center (</w:t>
      </w:r>
      <w:r w:rsidR="00C95D73">
        <w:rPr>
          <w:rFonts w:ascii="Verdana" w:hAnsi="Verdana"/>
          <w:sz w:val="22"/>
          <w:szCs w:val="22"/>
        </w:rPr>
        <w:t>MS-ISAC</w:t>
      </w:r>
      <w:r w:rsidR="00565B6B">
        <w:rPr>
          <w:rFonts w:ascii="Verdana" w:hAnsi="Verdana"/>
          <w:sz w:val="22"/>
          <w:szCs w:val="22"/>
        </w:rPr>
        <w:t>),</w:t>
      </w:r>
      <w:r w:rsidR="00C95D73">
        <w:rPr>
          <w:rFonts w:ascii="Verdana" w:hAnsi="Verdana"/>
          <w:sz w:val="22"/>
          <w:szCs w:val="22"/>
        </w:rPr>
        <w:t xml:space="preserve"> </w:t>
      </w:r>
      <w:r w:rsidR="00565B6B">
        <w:rPr>
          <w:rFonts w:ascii="Verdana" w:hAnsi="Verdana"/>
          <w:sz w:val="22"/>
          <w:szCs w:val="22"/>
        </w:rPr>
        <w:t>h</w:t>
      </w:r>
      <w:r w:rsidR="00C95D73">
        <w:rPr>
          <w:rFonts w:ascii="Verdana" w:hAnsi="Verdana"/>
          <w:sz w:val="22"/>
          <w:szCs w:val="22"/>
        </w:rPr>
        <w:t>igher education</w:t>
      </w:r>
      <w:r w:rsidRPr="0007424C">
        <w:rPr>
          <w:rFonts w:ascii="Verdana" w:hAnsi="Verdana"/>
          <w:sz w:val="22"/>
          <w:szCs w:val="22"/>
        </w:rPr>
        <w:t xml:space="preserve"> entities </w:t>
      </w:r>
      <w:r>
        <w:rPr>
          <w:rFonts w:ascii="Verdana" w:hAnsi="Verdana"/>
          <w:sz w:val="22"/>
          <w:szCs w:val="22"/>
        </w:rPr>
        <w:t>continue to</w:t>
      </w:r>
      <w:r w:rsidR="00C95D73">
        <w:rPr>
          <w:rFonts w:ascii="Verdana" w:hAnsi="Verdana"/>
          <w:sz w:val="22"/>
          <w:szCs w:val="22"/>
        </w:rPr>
        <w:t xml:space="preserve"> </w:t>
      </w:r>
      <w:r w:rsidR="00B91C38">
        <w:rPr>
          <w:rFonts w:ascii="Verdana" w:hAnsi="Verdana"/>
          <w:sz w:val="22"/>
          <w:szCs w:val="22"/>
        </w:rPr>
        <w:t xml:space="preserve">experience a </w:t>
      </w:r>
      <w:r w:rsidRPr="0007424C">
        <w:rPr>
          <w:rFonts w:ascii="Verdana" w:hAnsi="Verdana"/>
          <w:sz w:val="22"/>
          <w:szCs w:val="22"/>
        </w:rPr>
        <w:t>l</w:t>
      </w:r>
      <w:r w:rsidR="00C95D73">
        <w:rPr>
          <w:rFonts w:ascii="Verdana" w:hAnsi="Verdana"/>
          <w:sz w:val="22"/>
          <w:szCs w:val="22"/>
        </w:rPr>
        <w:t>arge</w:t>
      </w:r>
      <w:r>
        <w:rPr>
          <w:rFonts w:ascii="Verdana" w:hAnsi="Verdana"/>
          <w:sz w:val="22"/>
          <w:szCs w:val="22"/>
        </w:rPr>
        <w:t xml:space="preserve"> </w:t>
      </w:r>
      <w:r w:rsidR="00B91C38">
        <w:rPr>
          <w:rFonts w:ascii="Verdana" w:hAnsi="Verdana"/>
          <w:sz w:val="22"/>
          <w:szCs w:val="22"/>
        </w:rPr>
        <w:t xml:space="preserve">number </w:t>
      </w:r>
      <w:r>
        <w:rPr>
          <w:rFonts w:ascii="Verdana" w:hAnsi="Verdana"/>
          <w:sz w:val="22"/>
          <w:szCs w:val="22"/>
        </w:rPr>
        <w:t xml:space="preserve">of </w:t>
      </w:r>
      <w:r w:rsidRPr="0007424C">
        <w:rPr>
          <w:rFonts w:ascii="Verdana" w:hAnsi="Verdana"/>
          <w:sz w:val="22"/>
          <w:szCs w:val="22"/>
        </w:rPr>
        <w:t>cyberattacks</w:t>
      </w:r>
      <w:r>
        <w:rPr>
          <w:rFonts w:ascii="Verdana" w:hAnsi="Verdana"/>
          <w:sz w:val="22"/>
          <w:szCs w:val="22"/>
        </w:rPr>
        <w:t>, suffer from the most</w:t>
      </w:r>
      <w:r w:rsidRPr="0007424C">
        <w:rPr>
          <w:rFonts w:ascii="Verdana" w:hAnsi="Verdana"/>
          <w:sz w:val="22"/>
          <w:szCs w:val="22"/>
        </w:rPr>
        <w:t xml:space="preserve"> software vulnerabilities on internet</w:t>
      </w:r>
      <w:r w:rsidR="00F636F6">
        <w:rPr>
          <w:rFonts w:ascii="Verdana" w:hAnsi="Verdana"/>
          <w:sz w:val="22"/>
          <w:szCs w:val="22"/>
        </w:rPr>
        <w:t>-</w:t>
      </w:r>
      <w:r w:rsidRPr="0007424C">
        <w:rPr>
          <w:rFonts w:ascii="Verdana" w:hAnsi="Verdana"/>
          <w:sz w:val="22"/>
          <w:szCs w:val="22"/>
        </w:rPr>
        <w:t>facing systems</w:t>
      </w:r>
      <w:r w:rsidR="003C68DC">
        <w:rPr>
          <w:rFonts w:ascii="Verdana" w:hAnsi="Verdana"/>
          <w:sz w:val="22"/>
          <w:szCs w:val="22"/>
        </w:rPr>
        <w:t xml:space="preserve">, </w:t>
      </w:r>
      <w:r w:rsidR="003C68DC" w:rsidRPr="0007424C">
        <w:rPr>
          <w:rFonts w:ascii="Verdana" w:hAnsi="Verdana"/>
          <w:sz w:val="22"/>
          <w:szCs w:val="22"/>
        </w:rPr>
        <w:t>and</w:t>
      </w:r>
      <w:r w:rsidRPr="0007424C">
        <w:rPr>
          <w:rFonts w:ascii="Verdana" w:hAnsi="Verdana"/>
          <w:sz w:val="22"/>
          <w:szCs w:val="22"/>
        </w:rPr>
        <w:t xml:space="preserve"> </w:t>
      </w:r>
      <w:r>
        <w:rPr>
          <w:rFonts w:ascii="Verdana" w:hAnsi="Verdana"/>
          <w:sz w:val="22"/>
          <w:szCs w:val="22"/>
        </w:rPr>
        <w:t>face</w:t>
      </w:r>
      <w:r w:rsidRPr="0007424C">
        <w:rPr>
          <w:rFonts w:ascii="Verdana" w:hAnsi="Verdana"/>
          <w:sz w:val="22"/>
          <w:szCs w:val="22"/>
        </w:rPr>
        <w:t xml:space="preserve"> </w:t>
      </w:r>
      <w:r>
        <w:rPr>
          <w:rFonts w:ascii="Verdana" w:hAnsi="Verdana"/>
          <w:sz w:val="22"/>
          <w:szCs w:val="22"/>
        </w:rPr>
        <w:t>a significant number of account compromises</w:t>
      </w:r>
      <w:r w:rsidRPr="0007424C">
        <w:rPr>
          <w:rFonts w:ascii="Verdana" w:hAnsi="Verdana"/>
          <w:sz w:val="22"/>
          <w:szCs w:val="22"/>
        </w:rPr>
        <w:t xml:space="preserve"> and malware infections</w:t>
      </w:r>
      <w:r w:rsidR="00C95D73">
        <w:rPr>
          <w:rFonts w:ascii="Verdana" w:hAnsi="Verdana"/>
          <w:sz w:val="22"/>
          <w:szCs w:val="22"/>
        </w:rPr>
        <w:t xml:space="preserve">. </w:t>
      </w:r>
      <w:r>
        <w:rPr>
          <w:rFonts w:ascii="Verdana" w:hAnsi="Verdana"/>
          <w:sz w:val="22"/>
          <w:szCs w:val="22"/>
        </w:rPr>
        <w:t xml:space="preserve">Based on the </w:t>
      </w:r>
      <w:r w:rsidR="003C68DC">
        <w:rPr>
          <w:rFonts w:ascii="Verdana" w:hAnsi="Verdana"/>
          <w:sz w:val="22"/>
          <w:szCs w:val="22"/>
        </w:rPr>
        <w:t>continuing</w:t>
      </w:r>
      <w:r>
        <w:rPr>
          <w:rFonts w:ascii="Verdana" w:hAnsi="Verdana"/>
          <w:sz w:val="22"/>
          <w:szCs w:val="22"/>
        </w:rPr>
        <w:t xml:space="preserve"> issues facing these </w:t>
      </w:r>
      <w:r w:rsidR="003C68DC">
        <w:rPr>
          <w:rFonts w:ascii="Verdana" w:hAnsi="Verdana"/>
          <w:sz w:val="22"/>
          <w:szCs w:val="22"/>
        </w:rPr>
        <w:t>public</w:t>
      </w:r>
      <w:r>
        <w:rPr>
          <w:rFonts w:ascii="Verdana" w:hAnsi="Verdana"/>
          <w:sz w:val="22"/>
          <w:szCs w:val="22"/>
        </w:rPr>
        <w:t xml:space="preserve"> </w:t>
      </w:r>
      <w:r w:rsidR="003C68DC">
        <w:rPr>
          <w:rFonts w:ascii="Verdana" w:hAnsi="Verdana"/>
          <w:sz w:val="22"/>
          <w:szCs w:val="22"/>
        </w:rPr>
        <w:t>institutions</w:t>
      </w:r>
      <w:r>
        <w:rPr>
          <w:rFonts w:ascii="Verdana" w:hAnsi="Verdana"/>
          <w:sz w:val="22"/>
          <w:szCs w:val="22"/>
        </w:rPr>
        <w:t xml:space="preserve"> higher education in Virginia, </w:t>
      </w:r>
      <w:r w:rsidRPr="0007424C">
        <w:rPr>
          <w:rFonts w:ascii="Verdana" w:hAnsi="Verdana"/>
          <w:sz w:val="22"/>
          <w:szCs w:val="22"/>
        </w:rPr>
        <w:t xml:space="preserve">we continue to recommend </w:t>
      </w:r>
      <w:r w:rsidR="00565B6B">
        <w:rPr>
          <w:rFonts w:ascii="Verdana" w:hAnsi="Verdana"/>
          <w:sz w:val="22"/>
          <w:szCs w:val="22"/>
        </w:rPr>
        <w:t xml:space="preserve">that </w:t>
      </w:r>
      <w:r w:rsidRPr="0007424C">
        <w:rPr>
          <w:rFonts w:ascii="Verdana" w:hAnsi="Verdana"/>
          <w:sz w:val="22"/>
          <w:szCs w:val="22"/>
        </w:rPr>
        <w:t xml:space="preserve">additional </w:t>
      </w:r>
      <w:r>
        <w:rPr>
          <w:rFonts w:ascii="Verdana" w:hAnsi="Verdana"/>
          <w:sz w:val="22"/>
          <w:szCs w:val="22"/>
        </w:rPr>
        <w:t xml:space="preserve">governance </w:t>
      </w:r>
      <w:r w:rsidR="00AA2C7D">
        <w:rPr>
          <w:rFonts w:ascii="Verdana" w:hAnsi="Verdana"/>
          <w:sz w:val="22"/>
          <w:szCs w:val="22"/>
        </w:rPr>
        <w:t xml:space="preserve">be </w:t>
      </w:r>
      <w:r>
        <w:rPr>
          <w:rFonts w:ascii="Verdana" w:hAnsi="Verdana"/>
          <w:sz w:val="22"/>
          <w:szCs w:val="22"/>
        </w:rPr>
        <w:t xml:space="preserve">established </w:t>
      </w:r>
      <w:r w:rsidRPr="0007424C">
        <w:rPr>
          <w:rFonts w:ascii="Verdana" w:hAnsi="Verdana"/>
          <w:sz w:val="22"/>
          <w:szCs w:val="22"/>
        </w:rPr>
        <w:t>for these institutions</w:t>
      </w:r>
      <w:r>
        <w:rPr>
          <w:rFonts w:ascii="Verdana" w:hAnsi="Verdana"/>
          <w:sz w:val="22"/>
          <w:szCs w:val="22"/>
        </w:rPr>
        <w:t xml:space="preserve"> to promote </w:t>
      </w:r>
      <w:r w:rsidRPr="0007424C">
        <w:rPr>
          <w:rFonts w:ascii="Verdana" w:hAnsi="Verdana"/>
          <w:sz w:val="22"/>
          <w:szCs w:val="22"/>
        </w:rPr>
        <w:t xml:space="preserve">effective information security </w:t>
      </w:r>
      <w:r w:rsidR="00336B4E">
        <w:rPr>
          <w:rFonts w:ascii="Verdana" w:hAnsi="Verdana"/>
          <w:sz w:val="22"/>
          <w:szCs w:val="22"/>
        </w:rPr>
        <w:t>at the commonwealth’s colleges and universities.</w:t>
      </w:r>
    </w:p>
    <w:p w14:paraId="2E8E87C9" w14:textId="77777777" w:rsidR="00CE58EC" w:rsidRDefault="00CE58EC" w:rsidP="00231820">
      <w:pPr>
        <w:spacing w:after="200"/>
        <w:contextualSpacing/>
        <w:rPr>
          <w:rFonts w:ascii="Verdana" w:hAnsi="Verdana"/>
          <w:sz w:val="22"/>
          <w:szCs w:val="22"/>
        </w:rPr>
      </w:pPr>
    </w:p>
    <w:p w14:paraId="0FB7C246" w14:textId="713A9D5F" w:rsidR="00866433" w:rsidRPr="003B60CC" w:rsidRDefault="00866433" w:rsidP="00336B4E">
      <w:pPr>
        <w:shd w:val="clear" w:color="auto" w:fill="FFFFFF"/>
        <w:spacing w:before="100" w:beforeAutospacing="1" w:after="200"/>
        <w:rPr>
          <w:rFonts w:ascii="Arial" w:hAnsi="Arial"/>
          <w:color w:val="222222"/>
          <w:sz w:val="22"/>
          <w:szCs w:val="22"/>
        </w:rPr>
      </w:pPr>
      <w:r w:rsidRPr="003B60CC">
        <w:rPr>
          <w:rFonts w:ascii="Verdana" w:hAnsi="Verdana"/>
          <w:b/>
          <w:bCs/>
          <w:color w:val="222222"/>
          <w:sz w:val="22"/>
          <w:szCs w:val="22"/>
        </w:rPr>
        <w:t>Agency audit program compliance metrics continue to improve. </w:t>
      </w:r>
      <w:r w:rsidRPr="003B60CC">
        <w:rPr>
          <w:rFonts w:ascii="Verdana" w:hAnsi="Verdana"/>
          <w:color w:val="222222"/>
          <w:sz w:val="22"/>
          <w:szCs w:val="22"/>
        </w:rPr>
        <w:t xml:space="preserve">Audit program compliance, which includes audit plan submissions, completed audits and corrective action plan updates, was 44% for 2018. While overall compliance in the commonwealth is still less than half of the agencies, this was an improvement of 11% from the prior year. CSRM will continue to work with agencies to ensure that they have submitted their audit plans, completed audits, and corrective action plans to address the findings from the audits. In addition, as VITA’s </w:t>
      </w:r>
      <w:r w:rsidR="00F636F6">
        <w:rPr>
          <w:rFonts w:ascii="Verdana" w:hAnsi="Verdana"/>
          <w:color w:val="222222"/>
          <w:sz w:val="22"/>
          <w:szCs w:val="22"/>
        </w:rPr>
        <w:t>c</w:t>
      </w:r>
      <w:r w:rsidRPr="003B60CC">
        <w:rPr>
          <w:rFonts w:ascii="Verdana" w:hAnsi="Verdana"/>
          <w:color w:val="222222"/>
          <w:sz w:val="22"/>
          <w:szCs w:val="22"/>
        </w:rPr>
        <w:t xml:space="preserve">entralized </w:t>
      </w:r>
      <w:r w:rsidR="00F636F6">
        <w:rPr>
          <w:rFonts w:ascii="Verdana" w:hAnsi="Verdana"/>
          <w:color w:val="222222"/>
          <w:sz w:val="22"/>
          <w:szCs w:val="22"/>
        </w:rPr>
        <w:t>a</w:t>
      </w:r>
      <w:r w:rsidRPr="003B60CC">
        <w:rPr>
          <w:rFonts w:ascii="Verdana" w:hAnsi="Verdana"/>
          <w:color w:val="222222"/>
          <w:sz w:val="22"/>
          <w:szCs w:val="22"/>
        </w:rPr>
        <w:t xml:space="preserve">udit </w:t>
      </w:r>
      <w:r w:rsidR="00F636F6">
        <w:rPr>
          <w:rFonts w:ascii="Verdana" w:hAnsi="Verdana"/>
          <w:color w:val="222222"/>
          <w:sz w:val="22"/>
          <w:szCs w:val="22"/>
        </w:rPr>
        <w:t>s</w:t>
      </w:r>
      <w:r w:rsidRPr="003B60CC">
        <w:rPr>
          <w:rFonts w:ascii="Verdana" w:hAnsi="Verdana"/>
          <w:color w:val="222222"/>
          <w:sz w:val="22"/>
          <w:szCs w:val="22"/>
        </w:rPr>
        <w:t>ervices continues to mature, we anticipate agency audit programs to improve. Audit program compliance is important to ensure that sensitive systems are independently assessed and that corrective action plans have been developed to address any issues.</w:t>
      </w:r>
    </w:p>
    <w:p w14:paraId="0E5CC4E7" w14:textId="2734753D" w:rsidR="008D5A8A" w:rsidRPr="008D5A8A" w:rsidRDefault="00A3316A" w:rsidP="00336B4E">
      <w:pPr>
        <w:spacing w:after="200"/>
        <w:contextualSpacing/>
        <w:rPr>
          <w:rFonts w:ascii="Verdana" w:hAnsi="Verdana"/>
          <w:sz w:val="22"/>
          <w:szCs w:val="22"/>
        </w:rPr>
      </w:pPr>
      <w:r w:rsidRPr="00176C7B">
        <w:rPr>
          <w:rFonts w:ascii="Verdana" w:hAnsi="Verdana"/>
          <w:b/>
          <w:sz w:val="22"/>
          <w:szCs w:val="22"/>
        </w:rPr>
        <w:t>Risk managemen</w:t>
      </w:r>
      <w:r w:rsidR="00176C7B">
        <w:rPr>
          <w:rFonts w:ascii="Verdana" w:hAnsi="Verdana"/>
          <w:b/>
          <w:sz w:val="22"/>
          <w:szCs w:val="22"/>
        </w:rPr>
        <w:t xml:space="preserve">t program results improve. </w:t>
      </w:r>
      <w:r w:rsidR="00176C7B">
        <w:rPr>
          <w:rFonts w:ascii="Verdana" w:hAnsi="Verdana"/>
          <w:sz w:val="22"/>
          <w:szCs w:val="22"/>
        </w:rPr>
        <w:t xml:space="preserve">In 2018, agencies </w:t>
      </w:r>
      <w:r w:rsidR="00B040A9">
        <w:rPr>
          <w:rFonts w:ascii="Verdana" w:hAnsi="Verdana"/>
          <w:sz w:val="22"/>
          <w:szCs w:val="22"/>
        </w:rPr>
        <w:t>made progress on their</w:t>
      </w:r>
      <w:r w:rsidR="00565B6B">
        <w:rPr>
          <w:rFonts w:ascii="Verdana" w:hAnsi="Verdana"/>
          <w:sz w:val="22"/>
          <w:szCs w:val="22"/>
        </w:rPr>
        <w:t xml:space="preserve"> </w:t>
      </w:r>
      <w:r w:rsidR="00176C7B">
        <w:rPr>
          <w:rFonts w:ascii="Verdana" w:hAnsi="Verdana"/>
          <w:sz w:val="22"/>
          <w:szCs w:val="22"/>
        </w:rPr>
        <w:t>business impact analys</w:t>
      </w:r>
      <w:r w:rsidR="00565B6B">
        <w:rPr>
          <w:rFonts w:ascii="Verdana" w:hAnsi="Verdana"/>
          <w:sz w:val="22"/>
          <w:szCs w:val="22"/>
        </w:rPr>
        <w:t>es</w:t>
      </w:r>
      <w:r w:rsidR="00176C7B">
        <w:rPr>
          <w:rFonts w:ascii="Verdana" w:hAnsi="Verdana"/>
          <w:sz w:val="22"/>
          <w:szCs w:val="22"/>
        </w:rPr>
        <w:t>, risk assessment plans and risk assessments than in the prior year</w:t>
      </w:r>
      <w:r w:rsidR="00565B6B">
        <w:rPr>
          <w:rFonts w:ascii="Verdana" w:hAnsi="Verdana"/>
          <w:sz w:val="22"/>
          <w:szCs w:val="22"/>
        </w:rPr>
        <w:t xml:space="preserve">.  </w:t>
      </w:r>
      <w:r w:rsidR="00E375A6">
        <w:rPr>
          <w:rFonts w:ascii="Verdana" w:hAnsi="Verdana"/>
          <w:sz w:val="22"/>
          <w:szCs w:val="22"/>
        </w:rPr>
        <w:t xml:space="preserve">Overall, </w:t>
      </w:r>
      <w:r w:rsidR="00DF1D6F">
        <w:rPr>
          <w:rFonts w:ascii="Verdana" w:hAnsi="Verdana"/>
          <w:sz w:val="22"/>
          <w:szCs w:val="22"/>
        </w:rPr>
        <w:t xml:space="preserve">51% </w:t>
      </w:r>
      <w:r w:rsidR="00E375A6">
        <w:rPr>
          <w:rFonts w:ascii="Verdana" w:hAnsi="Verdana"/>
          <w:sz w:val="22"/>
          <w:szCs w:val="22"/>
        </w:rPr>
        <w:t>of agencies were compliant with the risk management program. This represents an</w:t>
      </w:r>
      <w:r w:rsidR="00977C02">
        <w:rPr>
          <w:rFonts w:ascii="Verdana" w:hAnsi="Verdana"/>
          <w:sz w:val="22"/>
          <w:szCs w:val="22"/>
        </w:rPr>
        <w:t xml:space="preserve"> increase</w:t>
      </w:r>
      <w:r w:rsidR="00DF1D6F">
        <w:rPr>
          <w:rFonts w:ascii="Verdana" w:hAnsi="Verdana"/>
          <w:sz w:val="22"/>
          <w:szCs w:val="22"/>
        </w:rPr>
        <w:t xml:space="preserve"> of 10%</w:t>
      </w:r>
      <w:r w:rsidR="00977C02">
        <w:rPr>
          <w:rFonts w:ascii="Verdana" w:hAnsi="Verdana"/>
          <w:sz w:val="22"/>
          <w:szCs w:val="22"/>
        </w:rPr>
        <w:t xml:space="preserve"> in </w:t>
      </w:r>
      <w:r w:rsidR="00565B6B">
        <w:rPr>
          <w:rFonts w:ascii="Verdana" w:hAnsi="Verdana"/>
          <w:sz w:val="22"/>
          <w:szCs w:val="22"/>
        </w:rPr>
        <w:t xml:space="preserve">compliance </w:t>
      </w:r>
      <w:r w:rsidR="00E375A6">
        <w:rPr>
          <w:rFonts w:ascii="Verdana" w:hAnsi="Verdana"/>
          <w:sz w:val="22"/>
          <w:szCs w:val="22"/>
        </w:rPr>
        <w:t>over the previous year</w:t>
      </w:r>
      <w:r w:rsidR="00565B6B">
        <w:rPr>
          <w:rFonts w:ascii="Verdana" w:hAnsi="Verdana"/>
          <w:sz w:val="22"/>
          <w:szCs w:val="22"/>
        </w:rPr>
        <w:t xml:space="preserve">. </w:t>
      </w:r>
      <w:r w:rsidR="00026394">
        <w:rPr>
          <w:rFonts w:ascii="Verdana" w:hAnsi="Verdana"/>
          <w:sz w:val="22"/>
          <w:szCs w:val="22"/>
        </w:rPr>
        <w:t xml:space="preserve">This increase </w:t>
      </w:r>
      <w:r w:rsidR="00565B6B">
        <w:rPr>
          <w:rFonts w:ascii="Verdana" w:hAnsi="Verdana"/>
          <w:sz w:val="22"/>
          <w:szCs w:val="22"/>
        </w:rPr>
        <w:t xml:space="preserve">is </w:t>
      </w:r>
      <w:r w:rsidR="00026394">
        <w:rPr>
          <w:rFonts w:ascii="Verdana" w:hAnsi="Verdana"/>
          <w:sz w:val="22"/>
          <w:szCs w:val="22"/>
        </w:rPr>
        <w:t xml:space="preserve">attributed to </w:t>
      </w:r>
      <w:r w:rsidR="00565B6B">
        <w:rPr>
          <w:rFonts w:ascii="Verdana" w:hAnsi="Verdana"/>
          <w:sz w:val="22"/>
          <w:szCs w:val="22"/>
        </w:rPr>
        <w:t xml:space="preserve">a continued </w:t>
      </w:r>
      <w:r w:rsidR="0020049F">
        <w:rPr>
          <w:rFonts w:ascii="Verdana" w:hAnsi="Verdana"/>
          <w:sz w:val="22"/>
          <w:szCs w:val="22"/>
        </w:rPr>
        <w:t>emphasis on risk management, VITA</w:t>
      </w:r>
      <w:r w:rsidR="00565B6B">
        <w:rPr>
          <w:rFonts w:ascii="Verdana" w:hAnsi="Verdana"/>
          <w:sz w:val="22"/>
          <w:szCs w:val="22"/>
        </w:rPr>
        <w:t xml:space="preserve">’s </w:t>
      </w:r>
      <w:r w:rsidR="00F636F6">
        <w:rPr>
          <w:rFonts w:ascii="Verdana" w:hAnsi="Verdana"/>
          <w:sz w:val="22"/>
          <w:szCs w:val="22"/>
        </w:rPr>
        <w:t>c</w:t>
      </w:r>
      <w:r w:rsidR="00565B6B">
        <w:rPr>
          <w:rFonts w:ascii="Verdana" w:hAnsi="Verdana"/>
          <w:sz w:val="22"/>
          <w:szCs w:val="22"/>
        </w:rPr>
        <w:t>entralized</w:t>
      </w:r>
      <w:r w:rsidR="0020049F">
        <w:rPr>
          <w:rFonts w:ascii="Verdana" w:hAnsi="Verdana"/>
          <w:sz w:val="22"/>
          <w:szCs w:val="22"/>
        </w:rPr>
        <w:t xml:space="preserve"> ISO </w:t>
      </w:r>
      <w:r w:rsidR="00F636F6">
        <w:rPr>
          <w:rFonts w:ascii="Verdana" w:hAnsi="Verdana"/>
          <w:sz w:val="22"/>
          <w:szCs w:val="22"/>
        </w:rPr>
        <w:t>s</w:t>
      </w:r>
      <w:r w:rsidR="0020049F">
        <w:rPr>
          <w:rFonts w:ascii="Verdana" w:hAnsi="Verdana"/>
          <w:sz w:val="22"/>
          <w:szCs w:val="22"/>
        </w:rPr>
        <w:t>ervices</w:t>
      </w:r>
      <w:r w:rsidR="00565B6B">
        <w:rPr>
          <w:rFonts w:ascii="Verdana" w:hAnsi="Verdana"/>
          <w:sz w:val="22"/>
          <w:szCs w:val="22"/>
        </w:rPr>
        <w:t xml:space="preserve"> </w:t>
      </w:r>
      <w:r w:rsidR="0020049F">
        <w:rPr>
          <w:rFonts w:ascii="Verdana" w:hAnsi="Verdana"/>
          <w:sz w:val="22"/>
          <w:szCs w:val="22"/>
        </w:rPr>
        <w:t xml:space="preserve">and additional funding provided for IT security services. </w:t>
      </w:r>
      <w:r w:rsidR="00E375A6">
        <w:rPr>
          <w:rFonts w:ascii="Verdana" w:hAnsi="Verdana"/>
          <w:sz w:val="22"/>
          <w:szCs w:val="22"/>
        </w:rPr>
        <w:t>CSRM determined that 86% of agencies with poor risk compliance metrics (grades of D or F) did not take advantage of the centralized ISO service offerings that could have supported their risk management efforts. Overall, CSRM anticipates that risk management program compliance metrics will continue to improve as agencies dedicate the necessary resources to address this issue.</w:t>
      </w:r>
    </w:p>
    <w:p w14:paraId="519F7D72" w14:textId="77777777" w:rsidR="00F52C21" w:rsidRDefault="00F52C21" w:rsidP="008B79BB">
      <w:pPr>
        <w:spacing w:after="200"/>
        <w:contextualSpacing/>
        <w:jc w:val="both"/>
        <w:rPr>
          <w:rFonts w:ascii="Verdana" w:hAnsi="Verdana"/>
          <w:sz w:val="22"/>
          <w:szCs w:val="22"/>
        </w:rPr>
      </w:pPr>
    </w:p>
    <w:p w14:paraId="76EA9F63" w14:textId="714D630A" w:rsidR="006C4C29" w:rsidRPr="003B60CC" w:rsidRDefault="006C4C29" w:rsidP="00AA3D2C">
      <w:pPr>
        <w:autoSpaceDE w:val="0"/>
        <w:autoSpaceDN w:val="0"/>
        <w:adjustRightInd w:val="0"/>
        <w:rPr>
          <w:rFonts w:ascii="Verdana" w:eastAsiaTheme="minorHAnsi" w:hAnsi="Verdana" w:cs="Verdana"/>
          <w:sz w:val="22"/>
          <w:szCs w:val="22"/>
        </w:rPr>
      </w:pPr>
      <w:r w:rsidRPr="006C4C29">
        <w:rPr>
          <w:rFonts w:ascii="Verdana" w:eastAsiaTheme="minorHAnsi" w:hAnsi="Verdana" w:cs="Verdana"/>
          <w:b/>
          <w:bCs/>
          <w:sz w:val="22"/>
          <w:szCs w:val="22"/>
        </w:rPr>
        <w:t xml:space="preserve">The commonwealth participated in the Nationwide Cyber Security Review (NCSR), a self-assessment survey aligned with in the National Institute of Standards and Technology (NIST) cybersecurity framework (CSF) to evaluate the commonwealth’s cybersecurity posture and compare with other states. </w:t>
      </w:r>
      <w:r w:rsidRPr="003B60CC">
        <w:rPr>
          <w:rFonts w:ascii="Verdana" w:hAnsi="Verdana"/>
          <w:sz w:val="22"/>
          <w:szCs w:val="22"/>
        </w:rPr>
        <w:t>There were 65 agencies (84%) that completed the NCSR survey for 2018.</w:t>
      </w:r>
      <w:r>
        <w:rPr>
          <w:rFonts w:ascii="Verdana" w:hAnsi="Verdana"/>
          <w:sz w:val="22"/>
          <w:szCs w:val="22"/>
        </w:rPr>
        <w:t xml:space="preserve"> </w:t>
      </w:r>
      <w:r w:rsidRPr="006C4C29">
        <w:rPr>
          <w:rFonts w:ascii="Verdana" w:eastAsiaTheme="minorHAnsi" w:hAnsi="Verdana" w:cs="Verdana"/>
          <w:sz w:val="22"/>
          <w:szCs w:val="22"/>
        </w:rPr>
        <w:t xml:space="preserve">The results are summarized by the core elements of the NIST cybersecurity framework, which are the following basic cybersecurity functions: identify, protect, detect, respond and recover. Survey results indicated that agencies on average have partially documented standards and/or procedures in all five cybersecurity functions. Agencies reported that their processes were least mature in the “recover” function, where agencies need to develop and implement the appropriate activities to maintain plans for resilience and to restore any capabilities or services that were impaired due to cybersecurity event. The “protect” function, related to agencies’ ability to limit or contain the impact of a potential cybersecurity event, is where agencies indicated their processes were the most mature. Agencies should use the survey results to prioritize their IT security efforts, as well as a benchmark to gauge progress in the maturity of their cybersecurity posture and assisting in cybersecurity investment decisions. Agencies should strive toward optimized maturity where each organization has policies, standards and/or procedures to achieve their objectives, and implementation is not only tested and verified but also regularly reviewed, improved and repeated to ensure continued effectiveness of their controls. </w:t>
      </w:r>
      <w:r w:rsidRPr="003B60CC">
        <w:rPr>
          <w:rFonts w:ascii="Verdana" w:eastAsiaTheme="minorHAnsi" w:hAnsi="Verdana" w:cs="Verdana"/>
          <w:sz w:val="22"/>
          <w:szCs w:val="22"/>
        </w:rPr>
        <w:t>The average score for each function improved in 201</w:t>
      </w:r>
      <w:r>
        <w:rPr>
          <w:rFonts w:ascii="Verdana" w:eastAsiaTheme="minorHAnsi" w:hAnsi="Verdana" w:cs="Verdana"/>
          <w:sz w:val="22"/>
          <w:szCs w:val="22"/>
        </w:rPr>
        <w:t>8</w:t>
      </w:r>
      <w:r w:rsidRPr="003B60CC">
        <w:rPr>
          <w:rFonts w:ascii="Verdana" w:eastAsiaTheme="minorHAnsi" w:hAnsi="Verdana" w:cs="Verdana"/>
          <w:sz w:val="22"/>
          <w:szCs w:val="22"/>
        </w:rPr>
        <w:t xml:space="preserve"> from the prior year. According to NCSR, the recommended minimum maturity level is set at a score of five and higher</w:t>
      </w:r>
      <w:r w:rsidR="00F636F6">
        <w:rPr>
          <w:rFonts w:ascii="Verdana" w:eastAsiaTheme="minorHAnsi" w:hAnsi="Verdana" w:cs="Verdana"/>
          <w:sz w:val="22"/>
          <w:szCs w:val="22"/>
        </w:rPr>
        <w:t>;</w:t>
      </w:r>
      <w:r w:rsidRPr="003B60CC">
        <w:rPr>
          <w:rFonts w:ascii="Verdana" w:eastAsiaTheme="minorHAnsi" w:hAnsi="Verdana" w:cs="Verdana"/>
          <w:sz w:val="22"/>
          <w:szCs w:val="22"/>
        </w:rPr>
        <w:t xml:space="preserve"> agencies reported that they reached this level for nearly every function on average. </w:t>
      </w:r>
      <w:r w:rsidR="007073B2">
        <w:rPr>
          <w:rFonts w:ascii="Verdana" w:eastAsiaTheme="minorHAnsi" w:hAnsi="Verdana" w:cs="Verdana"/>
          <w:sz w:val="22"/>
          <w:szCs w:val="22"/>
        </w:rPr>
        <w:t xml:space="preserve">Going forward CSRM will perform additional analysis </w:t>
      </w:r>
      <w:r w:rsidR="00C04E6C">
        <w:rPr>
          <w:rFonts w:ascii="Verdana" w:eastAsiaTheme="minorHAnsi" w:hAnsi="Verdana" w:cs="Verdana"/>
          <w:sz w:val="22"/>
          <w:szCs w:val="22"/>
        </w:rPr>
        <w:t>on the NCSR ratings and ensure they are in line with the adequacy of an agency’s program.</w:t>
      </w:r>
    </w:p>
    <w:p w14:paraId="51A6E20C" w14:textId="77777777" w:rsidR="006C4C29" w:rsidRDefault="006C4C29" w:rsidP="006C4C29">
      <w:pPr>
        <w:spacing w:after="200"/>
        <w:contextualSpacing/>
        <w:jc w:val="both"/>
        <w:rPr>
          <w:sz w:val="22"/>
          <w:szCs w:val="22"/>
        </w:rPr>
      </w:pPr>
    </w:p>
    <w:p w14:paraId="47AC87EE" w14:textId="178BD1A2" w:rsidR="0007424C" w:rsidRDefault="0007424C" w:rsidP="003B60CC">
      <w:pPr>
        <w:spacing w:after="200"/>
        <w:contextualSpacing/>
        <w:rPr>
          <w:rFonts w:ascii="Verdana" w:hAnsi="Verdana"/>
          <w:sz w:val="22"/>
          <w:szCs w:val="22"/>
        </w:rPr>
      </w:pPr>
      <w:r w:rsidRPr="0007424C">
        <w:rPr>
          <w:rFonts w:ascii="Verdana" w:hAnsi="Verdana"/>
          <w:b/>
          <w:sz w:val="22"/>
          <w:szCs w:val="22"/>
        </w:rPr>
        <w:t>The commonwealth was a target of a sextortion email</w:t>
      </w:r>
      <w:r w:rsidRPr="0007424C" w:rsidDel="00CB168D">
        <w:rPr>
          <w:rFonts w:ascii="Verdana" w:hAnsi="Verdana"/>
          <w:b/>
          <w:sz w:val="22"/>
          <w:szCs w:val="22"/>
        </w:rPr>
        <w:t xml:space="preserve"> </w:t>
      </w:r>
      <w:r w:rsidRPr="0007424C">
        <w:rPr>
          <w:rFonts w:ascii="Verdana" w:hAnsi="Verdana"/>
          <w:b/>
          <w:sz w:val="22"/>
          <w:szCs w:val="22"/>
        </w:rPr>
        <w:t>campaign</w:t>
      </w:r>
      <w:r w:rsidRPr="0007424C">
        <w:rPr>
          <w:rFonts w:ascii="Verdana" w:hAnsi="Verdana"/>
          <w:sz w:val="22"/>
          <w:szCs w:val="22"/>
        </w:rPr>
        <w:t>.</w:t>
      </w:r>
      <w:r>
        <w:rPr>
          <w:rFonts w:ascii="Verdana" w:hAnsi="Verdana"/>
          <w:sz w:val="22"/>
          <w:szCs w:val="22"/>
        </w:rPr>
        <w:t xml:space="preserve"> </w:t>
      </w:r>
      <w:r w:rsidRPr="0007424C">
        <w:rPr>
          <w:rFonts w:ascii="Verdana" w:hAnsi="Verdana"/>
          <w:sz w:val="22"/>
          <w:szCs w:val="22"/>
        </w:rPr>
        <w:t xml:space="preserve">During 2018, attackers found a new way to extort bitcoin from users. Instead of holding data for ransom, the attacker sends an email stating that they have “explicit videos” of the user that were obtained by using a </w:t>
      </w:r>
      <w:r w:rsidR="00336B4E">
        <w:rPr>
          <w:rFonts w:ascii="Verdana" w:hAnsi="Verdana"/>
          <w:sz w:val="22"/>
          <w:szCs w:val="22"/>
        </w:rPr>
        <w:t>r</w:t>
      </w:r>
      <w:r w:rsidRPr="0007424C">
        <w:rPr>
          <w:rFonts w:ascii="Verdana" w:hAnsi="Verdana"/>
          <w:sz w:val="22"/>
          <w:szCs w:val="22"/>
        </w:rPr>
        <w:t xml:space="preserve">emote </w:t>
      </w:r>
      <w:r w:rsidR="00F636F6">
        <w:rPr>
          <w:rFonts w:ascii="Verdana" w:hAnsi="Verdana"/>
          <w:sz w:val="22"/>
          <w:szCs w:val="22"/>
        </w:rPr>
        <w:t>a</w:t>
      </w:r>
      <w:r w:rsidRPr="0007424C">
        <w:rPr>
          <w:rFonts w:ascii="Verdana" w:hAnsi="Verdana"/>
          <w:sz w:val="22"/>
          <w:szCs w:val="22"/>
        </w:rPr>
        <w:t xml:space="preserve">ccess Trojan (RAT) that they installed on the user’s device. The attacker threatens that if the user’s doesn’t pay the extortion fee, the attacker will send the videos to everyone on the user’s contact list. In order to make this seem legitimate, the attacker includes an old password in the subject line that was harvested from a data breach. </w:t>
      </w:r>
      <w:r w:rsidR="00C04E6C">
        <w:rPr>
          <w:rFonts w:ascii="Verdana" w:hAnsi="Verdana"/>
          <w:sz w:val="22"/>
          <w:szCs w:val="22"/>
        </w:rPr>
        <w:t>The threat goes on to state if</w:t>
      </w:r>
      <w:r w:rsidR="00C04E6C" w:rsidRPr="0007424C">
        <w:rPr>
          <w:rFonts w:ascii="Verdana" w:hAnsi="Verdana"/>
          <w:sz w:val="22"/>
          <w:szCs w:val="22"/>
        </w:rPr>
        <w:t xml:space="preserve"> </w:t>
      </w:r>
      <w:r w:rsidRPr="0007424C">
        <w:rPr>
          <w:rFonts w:ascii="Verdana" w:hAnsi="Verdana"/>
          <w:sz w:val="22"/>
          <w:szCs w:val="22"/>
        </w:rPr>
        <w:t xml:space="preserve">the user pays the extortion fee, the attacker claims they will destroy all copies of the videos. </w:t>
      </w:r>
      <w:r w:rsidR="00C04E6C">
        <w:rPr>
          <w:rFonts w:ascii="Verdana" w:hAnsi="Verdana"/>
          <w:sz w:val="22"/>
          <w:szCs w:val="22"/>
        </w:rPr>
        <w:t xml:space="preserve"> These emails are intended to create fear and do not tie back to any actual activity h</w:t>
      </w:r>
      <w:r w:rsidRPr="0007424C">
        <w:rPr>
          <w:rFonts w:ascii="Verdana" w:hAnsi="Verdana"/>
          <w:sz w:val="22"/>
          <w:szCs w:val="22"/>
        </w:rPr>
        <w:t xml:space="preserve">owever, without sufficient security awareness training, users will fall prey to these scams.  </w:t>
      </w:r>
      <w:r w:rsidR="00C04E6C">
        <w:rPr>
          <w:rFonts w:ascii="Verdana" w:hAnsi="Verdana"/>
          <w:sz w:val="22"/>
          <w:szCs w:val="22"/>
        </w:rPr>
        <w:t>CSRM issues advisories and recommended training for agencies to help combat these scams and others.  CSRM will continue to refine training to help combat exploitation such as this campaign.</w:t>
      </w:r>
    </w:p>
    <w:p w14:paraId="114E4DAB" w14:textId="77777777" w:rsidR="0007424C" w:rsidRDefault="0007424C" w:rsidP="0007424C">
      <w:pPr>
        <w:spacing w:after="200"/>
        <w:contextualSpacing/>
        <w:jc w:val="both"/>
        <w:rPr>
          <w:rFonts w:ascii="Verdana" w:hAnsi="Verdana"/>
          <w:sz w:val="22"/>
          <w:szCs w:val="22"/>
        </w:rPr>
      </w:pPr>
    </w:p>
    <w:p w14:paraId="60E22723" w14:textId="07B492A2" w:rsidR="0007424C" w:rsidRPr="0007424C" w:rsidRDefault="0007424C" w:rsidP="0007424C">
      <w:pPr>
        <w:rPr>
          <w:rFonts w:ascii="Verdana" w:hAnsi="Verdana"/>
          <w:sz w:val="22"/>
          <w:szCs w:val="22"/>
        </w:rPr>
      </w:pPr>
      <w:r w:rsidRPr="0007424C">
        <w:rPr>
          <w:rFonts w:ascii="Verdana" w:hAnsi="Verdana"/>
          <w:b/>
          <w:bCs/>
          <w:sz w:val="22"/>
          <w:szCs w:val="22"/>
        </w:rPr>
        <w:t>New security controls for email access</w:t>
      </w:r>
      <w:r>
        <w:rPr>
          <w:rFonts w:ascii="Verdana" w:hAnsi="Verdana"/>
          <w:b/>
          <w:bCs/>
          <w:sz w:val="22"/>
          <w:szCs w:val="22"/>
        </w:rPr>
        <w:t xml:space="preserve">. </w:t>
      </w:r>
      <w:r w:rsidRPr="0007424C">
        <w:rPr>
          <w:rFonts w:ascii="Verdana" w:hAnsi="Verdana"/>
          <w:bCs/>
          <w:sz w:val="22"/>
          <w:szCs w:val="22"/>
        </w:rPr>
        <w:t xml:space="preserve">CSRM has worked with the messaging </w:t>
      </w:r>
      <w:r w:rsidR="00F636F6">
        <w:rPr>
          <w:rFonts w:ascii="Verdana" w:hAnsi="Verdana"/>
          <w:bCs/>
          <w:sz w:val="22"/>
          <w:szCs w:val="22"/>
        </w:rPr>
        <w:t>supplier</w:t>
      </w:r>
      <w:r w:rsidRPr="0007424C">
        <w:rPr>
          <w:rFonts w:ascii="Verdana" w:hAnsi="Verdana"/>
          <w:bCs/>
          <w:sz w:val="22"/>
          <w:szCs w:val="22"/>
        </w:rPr>
        <w:t xml:space="preserve"> to incorporate two-step and two-factor authentication. </w:t>
      </w:r>
      <w:r w:rsidR="00C04E6C">
        <w:rPr>
          <w:rFonts w:ascii="Verdana" w:hAnsi="Verdana"/>
          <w:sz w:val="22"/>
          <w:szCs w:val="22"/>
        </w:rPr>
        <w:t xml:space="preserve">As expected implementing this change has reduced direct email attacks significantly this year.  </w:t>
      </w:r>
      <w:r w:rsidR="00C04E6C">
        <w:rPr>
          <w:rFonts w:ascii="Verdana" w:hAnsi="Verdana"/>
          <w:bCs/>
          <w:sz w:val="22"/>
          <w:szCs w:val="22"/>
        </w:rPr>
        <w:t>A</w:t>
      </w:r>
      <w:r w:rsidRPr="0007424C">
        <w:rPr>
          <w:rFonts w:ascii="Verdana" w:hAnsi="Verdana"/>
          <w:bCs/>
          <w:sz w:val="22"/>
          <w:szCs w:val="22"/>
        </w:rPr>
        <w:t xml:space="preserve">ttackers are </w:t>
      </w:r>
      <w:r w:rsidR="00D65207">
        <w:rPr>
          <w:rFonts w:ascii="Verdana" w:hAnsi="Verdana"/>
          <w:bCs/>
          <w:sz w:val="22"/>
          <w:szCs w:val="22"/>
        </w:rPr>
        <w:t>constantly</w:t>
      </w:r>
      <w:r w:rsidR="00D65207" w:rsidRPr="0007424C">
        <w:rPr>
          <w:rFonts w:ascii="Verdana" w:hAnsi="Verdana"/>
          <w:bCs/>
          <w:sz w:val="22"/>
          <w:szCs w:val="22"/>
        </w:rPr>
        <w:t xml:space="preserve"> </w:t>
      </w:r>
      <w:r w:rsidRPr="0007424C">
        <w:rPr>
          <w:rFonts w:ascii="Verdana" w:hAnsi="Verdana"/>
          <w:bCs/>
          <w:sz w:val="22"/>
          <w:szCs w:val="22"/>
        </w:rPr>
        <w:t>changing the methods they use</w:t>
      </w:r>
      <w:r w:rsidR="00D65207">
        <w:rPr>
          <w:rFonts w:ascii="Verdana" w:hAnsi="Verdana"/>
          <w:bCs/>
          <w:sz w:val="22"/>
          <w:szCs w:val="22"/>
        </w:rPr>
        <w:t xml:space="preserve"> so CSRM will monitor for a shift in attack tactics.  </w:t>
      </w:r>
      <w:r w:rsidR="00D65207" w:rsidRPr="0007424C">
        <w:rPr>
          <w:rFonts w:ascii="Verdana" w:hAnsi="Verdana"/>
          <w:bCs/>
          <w:sz w:val="22"/>
          <w:szCs w:val="22"/>
        </w:rPr>
        <w:t xml:space="preserve">As new attack types are discovered the CSRM incident management team works with the </w:t>
      </w:r>
      <w:r w:rsidR="00D65207">
        <w:rPr>
          <w:rFonts w:ascii="Verdana" w:hAnsi="Verdana"/>
          <w:bCs/>
          <w:sz w:val="22"/>
          <w:szCs w:val="22"/>
        </w:rPr>
        <w:t>security and messaging</w:t>
      </w:r>
      <w:r w:rsidR="00D65207" w:rsidRPr="0007424C">
        <w:rPr>
          <w:rFonts w:ascii="Verdana" w:hAnsi="Verdana"/>
          <w:bCs/>
          <w:sz w:val="22"/>
          <w:szCs w:val="22"/>
        </w:rPr>
        <w:t xml:space="preserve"> </w:t>
      </w:r>
      <w:r w:rsidR="00D65207">
        <w:rPr>
          <w:rFonts w:ascii="Verdana" w:hAnsi="Verdana"/>
          <w:bCs/>
          <w:sz w:val="22"/>
          <w:szCs w:val="22"/>
        </w:rPr>
        <w:t>suppliers</w:t>
      </w:r>
      <w:r w:rsidR="00D65207" w:rsidRPr="0007424C">
        <w:rPr>
          <w:rFonts w:ascii="Verdana" w:hAnsi="Verdana"/>
          <w:bCs/>
          <w:sz w:val="22"/>
          <w:szCs w:val="22"/>
        </w:rPr>
        <w:t xml:space="preserve"> to find ways to block the attacks.</w:t>
      </w:r>
      <w:r w:rsidR="00D65207">
        <w:rPr>
          <w:rFonts w:ascii="Verdana" w:hAnsi="Verdana"/>
          <w:bCs/>
          <w:sz w:val="22"/>
          <w:szCs w:val="22"/>
        </w:rPr>
        <w:t xml:space="preserve">  </w:t>
      </w:r>
      <w:r w:rsidR="00C04E6C">
        <w:rPr>
          <w:rFonts w:ascii="Verdana" w:hAnsi="Verdana"/>
          <w:sz w:val="22"/>
          <w:szCs w:val="22"/>
        </w:rPr>
        <w:t xml:space="preserve">    </w:t>
      </w:r>
    </w:p>
    <w:p w14:paraId="3492AEDF" w14:textId="77777777" w:rsidR="0007424C" w:rsidRDefault="0007424C" w:rsidP="0007424C">
      <w:pPr>
        <w:spacing w:after="200"/>
        <w:contextualSpacing/>
        <w:jc w:val="both"/>
        <w:rPr>
          <w:rFonts w:ascii="Verdana" w:hAnsi="Verdana"/>
          <w:sz w:val="22"/>
          <w:szCs w:val="22"/>
        </w:rPr>
      </w:pPr>
    </w:p>
    <w:p w14:paraId="3246BF10" w14:textId="6D47B65C" w:rsidR="00611183" w:rsidRPr="00BC74C8" w:rsidRDefault="00603A5B" w:rsidP="00336B4E">
      <w:pPr>
        <w:spacing w:after="200"/>
        <w:contextualSpacing/>
        <w:rPr>
          <w:rFonts w:ascii="Verdana" w:hAnsi="Verdana"/>
          <w:bCs/>
          <w:sz w:val="22"/>
          <w:szCs w:val="22"/>
        </w:rPr>
      </w:pPr>
      <w:r w:rsidRPr="00937B57">
        <w:rPr>
          <w:rFonts w:ascii="Verdana" w:hAnsi="Verdana"/>
          <w:b/>
          <w:sz w:val="22"/>
          <w:szCs w:val="22"/>
        </w:rPr>
        <w:t>Vulnerability scanning results</w:t>
      </w:r>
      <w:r w:rsidR="00937B57">
        <w:rPr>
          <w:rFonts w:ascii="Verdana" w:hAnsi="Verdana"/>
          <w:b/>
          <w:sz w:val="22"/>
          <w:szCs w:val="22"/>
        </w:rPr>
        <w:t xml:space="preserve"> continue to show progress. </w:t>
      </w:r>
      <w:r w:rsidR="00937B57" w:rsidRPr="00AA3D2C">
        <w:rPr>
          <w:rFonts w:ascii="Verdana" w:hAnsi="Verdana"/>
          <w:sz w:val="22"/>
          <w:szCs w:val="22"/>
        </w:rPr>
        <w:t>T</w:t>
      </w:r>
      <w:r w:rsidR="00BC74C8" w:rsidRPr="00937B57">
        <w:rPr>
          <w:rFonts w:ascii="Verdana" w:hAnsi="Verdana"/>
          <w:bCs/>
          <w:sz w:val="22"/>
          <w:szCs w:val="22"/>
        </w:rPr>
        <w:t xml:space="preserve">he scanning program continues to provide valuable insight into the existing web application vulnerabilities as well as the remediation efforts required to reduce risk to the commonwealth. </w:t>
      </w:r>
      <w:r w:rsidR="00BC74C8">
        <w:rPr>
          <w:rFonts w:ascii="Verdana" w:hAnsi="Verdana"/>
          <w:bCs/>
          <w:sz w:val="22"/>
          <w:szCs w:val="22"/>
        </w:rPr>
        <w:t xml:space="preserve">CSRM </w:t>
      </w:r>
      <w:r w:rsidR="00BC74C8" w:rsidRPr="00937B57">
        <w:rPr>
          <w:rFonts w:ascii="Verdana" w:hAnsi="Verdana"/>
          <w:bCs/>
          <w:sz w:val="22"/>
          <w:szCs w:val="22"/>
        </w:rPr>
        <w:t>assess</w:t>
      </w:r>
      <w:r w:rsidR="00BC74C8">
        <w:rPr>
          <w:rFonts w:ascii="Verdana" w:hAnsi="Verdana"/>
          <w:bCs/>
          <w:sz w:val="22"/>
          <w:szCs w:val="22"/>
        </w:rPr>
        <w:t>es</w:t>
      </w:r>
      <w:r w:rsidR="00BC74C8" w:rsidRPr="00937B57">
        <w:rPr>
          <w:rFonts w:ascii="Verdana" w:hAnsi="Verdana"/>
          <w:bCs/>
          <w:sz w:val="22"/>
          <w:szCs w:val="22"/>
        </w:rPr>
        <w:t xml:space="preserve"> all public</w:t>
      </w:r>
      <w:r w:rsidR="002C54EA">
        <w:rPr>
          <w:rFonts w:ascii="Verdana" w:hAnsi="Verdana"/>
          <w:bCs/>
          <w:sz w:val="22"/>
          <w:szCs w:val="22"/>
        </w:rPr>
        <w:t>-</w:t>
      </w:r>
      <w:r w:rsidR="00BC74C8" w:rsidRPr="00937B57">
        <w:rPr>
          <w:rFonts w:ascii="Verdana" w:hAnsi="Verdana"/>
          <w:bCs/>
          <w:sz w:val="22"/>
          <w:szCs w:val="22"/>
        </w:rPr>
        <w:t xml:space="preserve">facing sites and are adding all private sites containing sensitive data. </w:t>
      </w:r>
      <w:r w:rsidR="00937B57">
        <w:rPr>
          <w:rFonts w:ascii="Verdana" w:hAnsi="Verdana"/>
          <w:bCs/>
          <w:sz w:val="22"/>
          <w:szCs w:val="22"/>
        </w:rPr>
        <w:t xml:space="preserve">Scan results indicate that agencies are addressing the vulnerabilities identified in the scans further securing commonwealth data. CSRM </w:t>
      </w:r>
      <w:r w:rsidR="00BC74C8" w:rsidRPr="00937B57">
        <w:rPr>
          <w:rFonts w:ascii="Verdana" w:hAnsi="Verdana"/>
          <w:bCs/>
          <w:sz w:val="22"/>
          <w:szCs w:val="22"/>
        </w:rPr>
        <w:t>currently scan</w:t>
      </w:r>
      <w:r w:rsidR="00937B57">
        <w:rPr>
          <w:rFonts w:ascii="Verdana" w:hAnsi="Verdana"/>
          <w:bCs/>
          <w:sz w:val="22"/>
          <w:szCs w:val="22"/>
        </w:rPr>
        <w:t>s</w:t>
      </w:r>
      <w:r w:rsidR="00BC74C8" w:rsidRPr="00937B57">
        <w:rPr>
          <w:rFonts w:ascii="Verdana" w:hAnsi="Verdana"/>
          <w:bCs/>
          <w:sz w:val="22"/>
          <w:szCs w:val="22"/>
        </w:rPr>
        <w:t xml:space="preserve"> private sensitive sites with operating system level scans and </w:t>
      </w:r>
      <w:r w:rsidR="00937B57">
        <w:rPr>
          <w:rFonts w:ascii="Verdana" w:hAnsi="Verdana"/>
          <w:bCs/>
          <w:sz w:val="22"/>
          <w:szCs w:val="22"/>
        </w:rPr>
        <w:t xml:space="preserve">will be adding </w:t>
      </w:r>
      <w:r w:rsidR="00BC74C8" w:rsidRPr="00937B57">
        <w:rPr>
          <w:rFonts w:ascii="Verdana" w:hAnsi="Verdana"/>
          <w:bCs/>
          <w:sz w:val="22"/>
          <w:szCs w:val="22"/>
        </w:rPr>
        <w:t>application level scanning for all sensitive applications</w:t>
      </w:r>
      <w:r w:rsidR="00937B57">
        <w:rPr>
          <w:rFonts w:ascii="Verdana" w:hAnsi="Verdana"/>
          <w:bCs/>
          <w:sz w:val="22"/>
          <w:szCs w:val="22"/>
        </w:rPr>
        <w:t xml:space="preserve"> to build on the successes of the scanning program.</w:t>
      </w:r>
    </w:p>
    <w:p w14:paraId="007D76E6" w14:textId="77777777" w:rsidR="00574DA2" w:rsidRDefault="00574DA2" w:rsidP="00336B4E">
      <w:pPr>
        <w:spacing w:after="200"/>
        <w:contextualSpacing/>
        <w:rPr>
          <w:rFonts w:ascii="Verdana" w:hAnsi="Verdana"/>
          <w:sz w:val="22"/>
          <w:szCs w:val="22"/>
        </w:rPr>
      </w:pPr>
    </w:p>
    <w:p w14:paraId="4CED3606" w14:textId="2A0A83BE" w:rsidR="009A42FE" w:rsidRPr="003B60CC" w:rsidRDefault="00574DA2" w:rsidP="00336B4E">
      <w:pPr>
        <w:spacing w:after="200"/>
        <w:contextualSpacing/>
        <w:rPr>
          <w:rFonts w:ascii="Verdana" w:hAnsi="Verdana"/>
          <w:sz w:val="22"/>
          <w:szCs w:val="22"/>
        </w:rPr>
      </w:pPr>
      <w:r w:rsidRPr="00E671B7">
        <w:rPr>
          <w:rFonts w:ascii="Verdana" w:hAnsi="Verdana"/>
          <w:b/>
          <w:sz w:val="22"/>
          <w:szCs w:val="22"/>
        </w:rPr>
        <w:t>New i</w:t>
      </w:r>
      <w:r w:rsidR="00603A5B" w:rsidRPr="00E671B7">
        <w:rPr>
          <w:rFonts w:ascii="Verdana" w:hAnsi="Verdana"/>
          <w:b/>
          <w:sz w:val="22"/>
          <w:szCs w:val="22"/>
        </w:rPr>
        <w:t>dentity and access management is part of the new services</w:t>
      </w:r>
      <w:r w:rsidR="00B464EE" w:rsidRPr="00E671B7">
        <w:rPr>
          <w:rFonts w:ascii="Verdana" w:hAnsi="Verdana"/>
          <w:b/>
          <w:sz w:val="22"/>
          <w:szCs w:val="22"/>
        </w:rPr>
        <w:t xml:space="preserve"> offered to commonwealth agencies</w:t>
      </w:r>
      <w:r w:rsidRPr="00E671B7">
        <w:rPr>
          <w:rFonts w:ascii="Verdana" w:hAnsi="Verdana"/>
          <w:b/>
          <w:sz w:val="22"/>
          <w:szCs w:val="22"/>
        </w:rPr>
        <w:t>.</w:t>
      </w:r>
      <w:r w:rsidR="00603A5B" w:rsidRPr="00E671B7">
        <w:rPr>
          <w:rFonts w:ascii="Verdana" w:hAnsi="Verdana"/>
          <w:sz w:val="22"/>
          <w:szCs w:val="22"/>
        </w:rPr>
        <w:t xml:space="preserve"> </w:t>
      </w:r>
      <w:r w:rsidR="00866433" w:rsidRPr="00E671B7">
        <w:rPr>
          <w:rFonts w:ascii="Verdana" w:hAnsi="Verdana"/>
          <w:bCs/>
          <w:color w:val="222222"/>
          <w:sz w:val="22"/>
          <w:szCs w:val="22"/>
          <w:shd w:val="clear" w:color="auto" w:fill="FFFFFF"/>
        </w:rPr>
        <w:t>Identity management</w:t>
      </w:r>
      <w:r w:rsidR="00866433" w:rsidRPr="00E671B7">
        <w:rPr>
          <w:rFonts w:ascii="Verdana" w:hAnsi="Verdana"/>
          <w:color w:val="222222"/>
          <w:sz w:val="22"/>
          <w:szCs w:val="22"/>
          <w:shd w:val="clear" w:color="auto" w:fill="FFFFFF"/>
        </w:rPr>
        <w:t> is also known as </w:t>
      </w:r>
      <w:r w:rsidR="00866433" w:rsidRPr="00E671B7">
        <w:rPr>
          <w:rFonts w:ascii="Verdana" w:hAnsi="Verdana"/>
          <w:bCs/>
          <w:color w:val="222222"/>
          <w:sz w:val="22"/>
          <w:szCs w:val="22"/>
          <w:shd w:val="clear" w:color="auto" w:fill="FFFFFF"/>
        </w:rPr>
        <w:t>identity and access management</w:t>
      </w:r>
      <w:r w:rsidR="00866433" w:rsidRPr="00E671B7">
        <w:rPr>
          <w:rFonts w:ascii="Verdana" w:hAnsi="Verdana"/>
          <w:color w:val="222222"/>
          <w:sz w:val="22"/>
          <w:szCs w:val="22"/>
          <w:shd w:val="clear" w:color="auto" w:fill="FFFFFF"/>
        </w:rPr>
        <w:t> (</w:t>
      </w:r>
      <w:r w:rsidR="00866433" w:rsidRPr="00E671B7">
        <w:rPr>
          <w:rFonts w:ascii="Verdana" w:hAnsi="Verdana"/>
          <w:bCs/>
          <w:color w:val="222222"/>
          <w:sz w:val="22"/>
          <w:szCs w:val="22"/>
          <w:shd w:val="clear" w:color="auto" w:fill="FFFFFF"/>
        </w:rPr>
        <w:t>IAM</w:t>
      </w:r>
      <w:r w:rsidR="00866433" w:rsidRPr="00E671B7">
        <w:rPr>
          <w:rFonts w:ascii="Verdana" w:hAnsi="Verdana"/>
          <w:color w:val="222222"/>
          <w:sz w:val="22"/>
          <w:szCs w:val="22"/>
          <w:shd w:val="clear" w:color="auto" w:fill="FFFFFF"/>
        </w:rPr>
        <w:t>). IAM refers to a framework of policies and technologies for ensuring that the proper people in an enterprise have the appropriate access to technology resources</w:t>
      </w:r>
      <w:r w:rsidR="00B464EE" w:rsidRPr="00E671B7">
        <w:rPr>
          <w:rFonts w:ascii="Verdana" w:hAnsi="Verdana"/>
          <w:color w:val="222222"/>
          <w:sz w:val="22"/>
          <w:szCs w:val="22"/>
          <w:shd w:val="clear" w:color="auto" w:fill="FFFFFF"/>
        </w:rPr>
        <w:t xml:space="preserve">. </w:t>
      </w:r>
      <w:r w:rsidR="00866433" w:rsidRPr="00E671B7">
        <w:rPr>
          <w:rFonts w:ascii="Verdana" w:hAnsi="Verdana"/>
          <w:color w:val="222222"/>
          <w:sz w:val="22"/>
          <w:szCs w:val="22"/>
          <w:shd w:val="clear" w:color="auto" w:fill="FFFFFF"/>
        </w:rPr>
        <w:t>Identity and access management systems not only identify, authenticate and authorize individuals who will be utilizing IT resources, but also the hardware and applications employees need to access</w:t>
      </w:r>
      <w:r w:rsidR="00B464EE" w:rsidRPr="00E671B7">
        <w:rPr>
          <w:rFonts w:ascii="Verdana" w:hAnsi="Verdana"/>
          <w:color w:val="222222"/>
          <w:sz w:val="22"/>
          <w:szCs w:val="22"/>
          <w:shd w:val="clear" w:color="auto" w:fill="FFFFFF"/>
        </w:rPr>
        <w:t xml:space="preserve">.  </w:t>
      </w:r>
      <w:r w:rsidR="00B464EE">
        <w:rPr>
          <w:rFonts w:ascii="Verdana" w:hAnsi="Verdana"/>
          <w:color w:val="222222"/>
          <w:sz w:val="22"/>
          <w:szCs w:val="22"/>
          <w:shd w:val="clear" w:color="auto" w:fill="FFFFFF"/>
        </w:rPr>
        <w:t xml:space="preserve">CSRM anticipates that </w:t>
      </w:r>
      <w:r w:rsidR="00B464EE">
        <w:rPr>
          <w:rFonts w:ascii="Verdana" w:hAnsi="Verdana"/>
          <w:sz w:val="22"/>
          <w:szCs w:val="22"/>
        </w:rPr>
        <w:t>t</w:t>
      </w:r>
      <w:r w:rsidR="00866433" w:rsidRPr="00E671B7">
        <w:rPr>
          <w:rFonts w:ascii="Verdana" w:hAnsi="Verdana"/>
          <w:sz w:val="22"/>
          <w:szCs w:val="22"/>
        </w:rPr>
        <w:t xml:space="preserve">hese new tools will </w:t>
      </w:r>
      <w:r w:rsidR="00B464EE" w:rsidRPr="00E671B7">
        <w:rPr>
          <w:rFonts w:ascii="Verdana" w:hAnsi="Verdana"/>
          <w:sz w:val="22"/>
          <w:szCs w:val="22"/>
        </w:rPr>
        <w:t xml:space="preserve">allow agencies to better manage and control access </w:t>
      </w:r>
      <w:r w:rsidR="002C54EA">
        <w:rPr>
          <w:rFonts w:ascii="Verdana" w:hAnsi="Verdana"/>
          <w:sz w:val="22"/>
          <w:szCs w:val="22"/>
        </w:rPr>
        <w:t xml:space="preserve">to </w:t>
      </w:r>
      <w:r w:rsidR="00B464EE" w:rsidRPr="00E671B7">
        <w:rPr>
          <w:rFonts w:ascii="Verdana" w:hAnsi="Verdana"/>
          <w:sz w:val="22"/>
          <w:szCs w:val="22"/>
        </w:rPr>
        <w:t>their e</w:t>
      </w:r>
      <w:r w:rsidR="00866433" w:rsidRPr="00E671B7">
        <w:rPr>
          <w:rFonts w:ascii="Verdana" w:hAnsi="Verdana"/>
          <w:sz w:val="22"/>
          <w:szCs w:val="22"/>
        </w:rPr>
        <w:t>nvironments</w:t>
      </w:r>
      <w:r w:rsidR="00B464EE">
        <w:rPr>
          <w:rFonts w:ascii="Verdana" w:hAnsi="Verdana"/>
          <w:sz w:val="22"/>
          <w:szCs w:val="22"/>
        </w:rPr>
        <w:t>, further securing the commonwealth’s information</w:t>
      </w:r>
      <w:r w:rsidR="00866433" w:rsidRPr="00E671B7">
        <w:rPr>
          <w:rFonts w:ascii="Verdana" w:hAnsi="Verdana"/>
          <w:sz w:val="22"/>
          <w:szCs w:val="22"/>
        </w:rPr>
        <w:t xml:space="preserve">. </w:t>
      </w:r>
      <w:r w:rsidR="00D65207">
        <w:rPr>
          <w:rFonts w:ascii="Verdana" w:hAnsi="Verdana"/>
          <w:sz w:val="22"/>
          <w:szCs w:val="22"/>
        </w:rPr>
        <w:t xml:space="preserve"> As part of the new offering CSRM will be developing additional policies and standards to help with standard implementation within the commonwealth.  </w:t>
      </w:r>
      <w:r w:rsidR="00866433" w:rsidRPr="00E671B7">
        <w:rPr>
          <w:rFonts w:ascii="Verdana" w:hAnsi="Verdana"/>
          <w:sz w:val="22"/>
          <w:szCs w:val="22"/>
        </w:rPr>
        <w:t xml:space="preserve"> </w:t>
      </w:r>
    </w:p>
    <w:p w14:paraId="53E8B348" w14:textId="77777777" w:rsidR="009A42FE" w:rsidRPr="003B60CC" w:rsidRDefault="009A42FE" w:rsidP="002C54EA">
      <w:pPr>
        <w:rPr>
          <w:rFonts w:ascii="Verdana" w:hAnsi="Verdana"/>
          <w:sz w:val="22"/>
          <w:szCs w:val="22"/>
        </w:rPr>
      </w:pPr>
    </w:p>
    <w:p w14:paraId="433E5913" w14:textId="77777777" w:rsidR="009A42FE" w:rsidRDefault="009A42FE" w:rsidP="00BA7E23">
      <w:pPr>
        <w:rPr>
          <w:rFonts w:ascii="Verdana" w:hAnsi="Verdana"/>
          <w:sz w:val="22"/>
          <w:szCs w:val="22"/>
        </w:rPr>
      </w:pPr>
    </w:p>
    <w:p w14:paraId="49EC0006" w14:textId="77777777" w:rsidR="009A42FE" w:rsidRDefault="009A42FE" w:rsidP="00BA7E23">
      <w:pPr>
        <w:rPr>
          <w:rFonts w:ascii="Verdana" w:hAnsi="Verdana"/>
          <w:sz w:val="22"/>
          <w:szCs w:val="22"/>
        </w:rPr>
      </w:pPr>
    </w:p>
    <w:p w14:paraId="7DC9C303" w14:textId="77777777" w:rsidR="009A42FE" w:rsidRDefault="009A42FE" w:rsidP="00BA7E23">
      <w:pPr>
        <w:rPr>
          <w:rFonts w:ascii="Verdana" w:hAnsi="Verdana"/>
          <w:sz w:val="22"/>
          <w:szCs w:val="22"/>
        </w:rPr>
      </w:pPr>
    </w:p>
    <w:p w14:paraId="404B4C51" w14:textId="77777777" w:rsidR="009A42FE" w:rsidRDefault="009A42FE" w:rsidP="00BA7E23">
      <w:pPr>
        <w:rPr>
          <w:rFonts w:ascii="Verdana" w:hAnsi="Verdana"/>
          <w:sz w:val="22"/>
          <w:szCs w:val="22"/>
        </w:rPr>
      </w:pPr>
    </w:p>
    <w:p w14:paraId="0E283198" w14:textId="77777777" w:rsidR="000B452F" w:rsidRDefault="000B452F" w:rsidP="00BA7E23">
      <w:pPr>
        <w:rPr>
          <w:rFonts w:ascii="Verdana" w:hAnsi="Verdana"/>
          <w:sz w:val="22"/>
          <w:szCs w:val="22"/>
        </w:rPr>
      </w:pPr>
    </w:p>
    <w:p w14:paraId="37034778" w14:textId="77777777" w:rsidR="000B452F" w:rsidRDefault="000B452F" w:rsidP="00BA7E23">
      <w:pPr>
        <w:rPr>
          <w:rFonts w:ascii="Verdana" w:hAnsi="Verdana"/>
          <w:sz w:val="22"/>
          <w:szCs w:val="22"/>
        </w:rPr>
      </w:pPr>
    </w:p>
    <w:p w14:paraId="13D9A9BA" w14:textId="77777777" w:rsidR="000B452F" w:rsidRDefault="000B452F" w:rsidP="00BA7E23">
      <w:pPr>
        <w:rPr>
          <w:rFonts w:ascii="Verdana" w:hAnsi="Verdana"/>
          <w:sz w:val="22"/>
          <w:szCs w:val="22"/>
        </w:rPr>
      </w:pPr>
    </w:p>
    <w:p w14:paraId="205103F6" w14:textId="77777777" w:rsidR="000B452F" w:rsidRDefault="000B452F" w:rsidP="00BA7E23">
      <w:pPr>
        <w:rPr>
          <w:rFonts w:ascii="Verdana" w:hAnsi="Verdana"/>
          <w:sz w:val="22"/>
          <w:szCs w:val="22"/>
        </w:rPr>
      </w:pPr>
    </w:p>
    <w:p w14:paraId="5F11C178" w14:textId="77777777" w:rsidR="000B452F" w:rsidRDefault="000B452F" w:rsidP="00BA7E23">
      <w:pPr>
        <w:rPr>
          <w:rFonts w:ascii="Verdana" w:hAnsi="Verdana"/>
          <w:sz w:val="22"/>
          <w:szCs w:val="22"/>
        </w:rPr>
      </w:pPr>
    </w:p>
    <w:p w14:paraId="4737EEE9" w14:textId="77777777" w:rsidR="000B452F" w:rsidRDefault="000B452F" w:rsidP="00BA7E23">
      <w:pPr>
        <w:rPr>
          <w:rFonts w:ascii="Verdana" w:hAnsi="Verdana"/>
          <w:sz w:val="22"/>
          <w:szCs w:val="22"/>
        </w:rPr>
      </w:pPr>
    </w:p>
    <w:p w14:paraId="47D54413" w14:textId="77777777" w:rsidR="000B452F" w:rsidRDefault="000B452F" w:rsidP="00BA7E23">
      <w:pPr>
        <w:rPr>
          <w:rFonts w:ascii="Verdana" w:hAnsi="Verdana"/>
          <w:sz w:val="22"/>
          <w:szCs w:val="22"/>
        </w:rPr>
      </w:pPr>
    </w:p>
    <w:p w14:paraId="5BA1682A" w14:textId="77777777" w:rsidR="000B452F" w:rsidRDefault="000B452F" w:rsidP="00BA7E23">
      <w:pPr>
        <w:rPr>
          <w:rFonts w:ascii="Verdana" w:hAnsi="Verdana"/>
          <w:sz w:val="22"/>
          <w:szCs w:val="22"/>
        </w:rPr>
      </w:pPr>
    </w:p>
    <w:p w14:paraId="5A25F63D" w14:textId="77777777" w:rsidR="000B452F" w:rsidRDefault="000B452F" w:rsidP="00BA7E23">
      <w:pPr>
        <w:rPr>
          <w:rFonts w:ascii="Verdana" w:hAnsi="Verdana"/>
          <w:sz w:val="22"/>
          <w:szCs w:val="22"/>
        </w:rPr>
      </w:pPr>
    </w:p>
    <w:p w14:paraId="7D6459F9" w14:textId="77777777" w:rsidR="000B452F" w:rsidRDefault="000B452F" w:rsidP="00BA7E23">
      <w:pPr>
        <w:rPr>
          <w:rFonts w:ascii="Verdana" w:hAnsi="Verdana"/>
          <w:sz w:val="22"/>
          <w:szCs w:val="22"/>
        </w:rPr>
      </w:pPr>
    </w:p>
    <w:p w14:paraId="0DDCA12B" w14:textId="77777777" w:rsidR="000B452F" w:rsidRDefault="000B452F" w:rsidP="00BA7E23">
      <w:pPr>
        <w:rPr>
          <w:rFonts w:ascii="Verdana" w:hAnsi="Verdana"/>
          <w:sz w:val="22"/>
          <w:szCs w:val="22"/>
        </w:rPr>
      </w:pPr>
    </w:p>
    <w:p w14:paraId="641F9DE6" w14:textId="77777777" w:rsidR="000B452F" w:rsidRDefault="000B452F" w:rsidP="00BA7E23">
      <w:pPr>
        <w:rPr>
          <w:rFonts w:ascii="Verdana" w:hAnsi="Verdana"/>
          <w:sz w:val="22"/>
          <w:szCs w:val="22"/>
        </w:rPr>
      </w:pPr>
    </w:p>
    <w:p w14:paraId="2BF971FF" w14:textId="77777777" w:rsidR="000B452F" w:rsidRDefault="000B452F" w:rsidP="00BA7E23">
      <w:pPr>
        <w:rPr>
          <w:rFonts w:ascii="Verdana" w:hAnsi="Verdana"/>
          <w:sz w:val="22"/>
          <w:szCs w:val="22"/>
        </w:rPr>
      </w:pPr>
    </w:p>
    <w:p w14:paraId="1B971DA1" w14:textId="77777777" w:rsidR="000B452F" w:rsidRDefault="000B452F" w:rsidP="00BA7E23">
      <w:pPr>
        <w:rPr>
          <w:rFonts w:ascii="Verdana" w:hAnsi="Verdana"/>
          <w:sz w:val="22"/>
          <w:szCs w:val="22"/>
        </w:rPr>
      </w:pPr>
    </w:p>
    <w:p w14:paraId="6E00EDD5" w14:textId="77777777" w:rsidR="00B464EE" w:rsidRDefault="00B464EE" w:rsidP="00BA7E23">
      <w:pPr>
        <w:rPr>
          <w:rFonts w:ascii="Verdana" w:hAnsi="Verdana"/>
          <w:sz w:val="22"/>
          <w:szCs w:val="22"/>
        </w:rPr>
      </w:pPr>
    </w:p>
    <w:p w14:paraId="34B0F2E6" w14:textId="77777777" w:rsidR="00B464EE" w:rsidRDefault="00B464EE" w:rsidP="00BA7E23">
      <w:pPr>
        <w:rPr>
          <w:rFonts w:ascii="Verdana" w:hAnsi="Verdana"/>
          <w:sz w:val="22"/>
          <w:szCs w:val="22"/>
        </w:rPr>
      </w:pPr>
    </w:p>
    <w:p w14:paraId="03633867" w14:textId="77777777" w:rsidR="00B464EE" w:rsidRDefault="00B464EE" w:rsidP="00BA7E23">
      <w:pPr>
        <w:rPr>
          <w:rFonts w:ascii="Verdana" w:hAnsi="Verdana"/>
          <w:sz w:val="22"/>
          <w:szCs w:val="22"/>
        </w:rPr>
      </w:pPr>
    </w:p>
    <w:p w14:paraId="0F5862BD" w14:textId="77777777" w:rsidR="000B452F" w:rsidRDefault="000B452F" w:rsidP="00BA7E23">
      <w:pPr>
        <w:rPr>
          <w:rFonts w:ascii="Verdana" w:hAnsi="Verdana"/>
          <w:sz w:val="22"/>
          <w:szCs w:val="22"/>
        </w:rPr>
      </w:pPr>
    </w:p>
    <w:p w14:paraId="32138CB3" w14:textId="77777777" w:rsidR="000B452F" w:rsidRDefault="000B452F" w:rsidP="00BA7E23">
      <w:pPr>
        <w:rPr>
          <w:rFonts w:ascii="Verdana" w:hAnsi="Verdana"/>
          <w:sz w:val="22"/>
          <w:szCs w:val="22"/>
        </w:rPr>
      </w:pPr>
    </w:p>
    <w:p w14:paraId="0EFF0A11" w14:textId="6611B5F0" w:rsidR="00BB13FD" w:rsidRPr="00BB13FD" w:rsidRDefault="00603A5B" w:rsidP="003B60CC">
      <w:pPr>
        <w:pStyle w:val="Heading1"/>
        <w:tabs>
          <w:tab w:val="left" w:pos="1785"/>
          <w:tab w:val="center" w:pos="5400"/>
        </w:tabs>
        <w:spacing w:after="240"/>
        <w:jc w:val="center"/>
        <w:rPr>
          <w:rFonts w:ascii="Verdana" w:hAnsi="Verdana"/>
          <w:color w:val="008000"/>
          <w:sz w:val="22"/>
          <w:szCs w:val="22"/>
        </w:rPr>
      </w:pPr>
      <w:bookmarkStart w:id="4" w:name="_Toc14262268"/>
      <w:r>
        <w:rPr>
          <w:rFonts w:ascii="Verdana" w:hAnsi="Verdana"/>
          <w:color w:val="008000"/>
          <w:sz w:val="22"/>
          <w:szCs w:val="22"/>
        </w:rPr>
        <w:t>2018</w:t>
      </w:r>
      <w:r w:rsidR="00BB13FD">
        <w:rPr>
          <w:rFonts w:ascii="Verdana" w:hAnsi="Verdana"/>
          <w:color w:val="008000"/>
          <w:sz w:val="22"/>
          <w:szCs w:val="22"/>
        </w:rPr>
        <w:t xml:space="preserve"> Annual Information Security Report</w:t>
      </w:r>
      <w:bookmarkEnd w:id="4"/>
    </w:p>
    <w:p w14:paraId="761DB274" w14:textId="4996FEFB" w:rsidR="00BC264D" w:rsidRPr="00D45AE7" w:rsidRDefault="0021271F" w:rsidP="00B24519">
      <w:pPr>
        <w:rPr>
          <w:rFonts w:ascii="Verdana" w:hAnsi="Verdana"/>
          <w:sz w:val="22"/>
          <w:szCs w:val="22"/>
        </w:rPr>
      </w:pPr>
      <w:r w:rsidRPr="00D45AE7">
        <w:rPr>
          <w:rFonts w:ascii="Verdana" w:hAnsi="Verdana"/>
          <w:sz w:val="22"/>
          <w:szCs w:val="22"/>
        </w:rPr>
        <w:t>Th</w:t>
      </w:r>
      <w:r w:rsidR="00BC264D" w:rsidRPr="00D45AE7">
        <w:rPr>
          <w:rFonts w:ascii="Verdana" w:hAnsi="Verdana"/>
          <w:sz w:val="22"/>
          <w:szCs w:val="22"/>
        </w:rPr>
        <w:t xml:space="preserve">e </w:t>
      </w:r>
      <w:r w:rsidR="00603A5B">
        <w:rPr>
          <w:rFonts w:ascii="Verdana" w:hAnsi="Verdana"/>
          <w:sz w:val="22"/>
          <w:szCs w:val="22"/>
        </w:rPr>
        <w:t>2018</w:t>
      </w:r>
      <w:r w:rsidR="00BC264D" w:rsidRPr="00D45AE7">
        <w:rPr>
          <w:rFonts w:ascii="Verdana" w:hAnsi="Verdana"/>
          <w:sz w:val="22"/>
          <w:szCs w:val="22"/>
        </w:rPr>
        <w:t xml:space="preserve"> Annual Security Report for the </w:t>
      </w:r>
      <w:r w:rsidR="00073D0F" w:rsidRPr="00D45AE7">
        <w:rPr>
          <w:rFonts w:ascii="Verdana" w:hAnsi="Verdana"/>
          <w:sz w:val="22"/>
          <w:szCs w:val="22"/>
        </w:rPr>
        <w:t>Commonwealth</w:t>
      </w:r>
      <w:r w:rsidR="00BC264D" w:rsidRPr="00D45AE7">
        <w:rPr>
          <w:rFonts w:ascii="Verdana" w:hAnsi="Verdana"/>
          <w:sz w:val="22"/>
          <w:szCs w:val="22"/>
        </w:rPr>
        <w:t xml:space="preserve"> of Virginia </w:t>
      </w:r>
      <w:r w:rsidR="00E307F8" w:rsidRPr="00D45AE7">
        <w:rPr>
          <w:rFonts w:ascii="Verdana" w:hAnsi="Verdana"/>
          <w:sz w:val="22"/>
          <w:szCs w:val="22"/>
        </w:rPr>
        <w:t xml:space="preserve">report includes </w:t>
      </w:r>
      <w:r w:rsidR="00F54102" w:rsidRPr="00D45AE7">
        <w:rPr>
          <w:rFonts w:ascii="Verdana" w:hAnsi="Verdana"/>
          <w:sz w:val="22"/>
          <w:szCs w:val="22"/>
        </w:rPr>
        <w:t>an analysis</w:t>
      </w:r>
      <w:r w:rsidR="00C77249">
        <w:rPr>
          <w:rFonts w:ascii="Verdana" w:hAnsi="Verdana"/>
          <w:sz w:val="22"/>
          <w:szCs w:val="22"/>
        </w:rPr>
        <w:t xml:space="preserve"> of</w:t>
      </w:r>
      <w:r w:rsidR="00E307F8" w:rsidRPr="00D45AE7">
        <w:rPr>
          <w:rFonts w:ascii="Verdana" w:hAnsi="Verdana"/>
          <w:sz w:val="22"/>
          <w:szCs w:val="22"/>
        </w:rPr>
        <w:t xml:space="preserve"> the </w:t>
      </w:r>
      <w:r w:rsidR="0050196F" w:rsidRPr="00D45AE7">
        <w:rPr>
          <w:rFonts w:ascii="Verdana" w:hAnsi="Verdana"/>
          <w:sz w:val="22"/>
          <w:szCs w:val="22"/>
        </w:rPr>
        <w:t>commonwealth</w:t>
      </w:r>
      <w:r w:rsidR="00E307F8" w:rsidRPr="00D45AE7">
        <w:rPr>
          <w:rFonts w:ascii="Verdana" w:hAnsi="Verdana"/>
          <w:sz w:val="22"/>
          <w:szCs w:val="22"/>
        </w:rPr>
        <w:t xml:space="preserve"> </w:t>
      </w:r>
      <w:r w:rsidR="0004103F" w:rsidRPr="00D45AE7">
        <w:rPr>
          <w:rFonts w:ascii="Verdana" w:hAnsi="Verdana"/>
          <w:sz w:val="22"/>
          <w:szCs w:val="22"/>
        </w:rPr>
        <w:t>t</w:t>
      </w:r>
      <w:r w:rsidR="00E307F8" w:rsidRPr="00D45AE7">
        <w:rPr>
          <w:rFonts w:ascii="Verdana" w:hAnsi="Verdana"/>
          <w:sz w:val="22"/>
          <w:szCs w:val="22"/>
        </w:rPr>
        <w:t xml:space="preserve">hreat </w:t>
      </w:r>
      <w:r w:rsidR="0004103F" w:rsidRPr="00D45AE7">
        <w:rPr>
          <w:rFonts w:ascii="Verdana" w:hAnsi="Verdana"/>
          <w:sz w:val="22"/>
          <w:szCs w:val="22"/>
        </w:rPr>
        <w:t>m</w:t>
      </w:r>
      <w:r w:rsidR="00E307F8" w:rsidRPr="00D45AE7">
        <w:rPr>
          <w:rFonts w:ascii="Verdana" w:hAnsi="Verdana"/>
          <w:sz w:val="22"/>
          <w:szCs w:val="22"/>
        </w:rPr>
        <w:t xml:space="preserve">anagement </w:t>
      </w:r>
      <w:r w:rsidR="0004103F" w:rsidRPr="00D45AE7">
        <w:rPr>
          <w:rFonts w:ascii="Verdana" w:hAnsi="Verdana"/>
          <w:sz w:val="22"/>
          <w:szCs w:val="22"/>
        </w:rPr>
        <w:t>p</w:t>
      </w:r>
      <w:r w:rsidR="00E307F8" w:rsidRPr="00D45AE7">
        <w:rPr>
          <w:rFonts w:ascii="Verdana" w:hAnsi="Verdana"/>
          <w:sz w:val="22"/>
          <w:szCs w:val="22"/>
        </w:rPr>
        <w:t xml:space="preserve">rogram, </w:t>
      </w:r>
      <w:r w:rsidR="00593446" w:rsidRPr="00D45AE7">
        <w:rPr>
          <w:rFonts w:ascii="Verdana" w:hAnsi="Verdana"/>
          <w:sz w:val="22"/>
          <w:szCs w:val="22"/>
        </w:rPr>
        <w:t>new services offe</w:t>
      </w:r>
      <w:r w:rsidR="000749AC" w:rsidRPr="00D45AE7">
        <w:rPr>
          <w:rFonts w:ascii="Verdana" w:hAnsi="Verdana"/>
          <w:sz w:val="22"/>
          <w:szCs w:val="22"/>
        </w:rPr>
        <w:t>red</w:t>
      </w:r>
      <w:r w:rsidR="00EF7C98" w:rsidRPr="00D45AE7">
        <w:rPr>
          <w:rFonts w:ascii="Verdana" w:hAnsi="Verdana"/>
          <w:sz w:val="22"/>
          <w:szCs w:val="22"/>
        </w:rPr>
        <w:t>, the</w:t>
      </w:r>
      <w:r w:rsidR="00593446" w:rsidRPr="00D45AE7">
        <w:rPr>
          <w:rFonts w:ascii="Verdana" w:hAnsi="Verdana"/>
          <w:sz w:val="22"/>
          <w:szCs w:val="22"/>
        </w:rPr>
        <w:t xml:space="preserve"> </w:t>
      </w:r>
      <w:r w:rsidR="0050196F" w:rsidRPr="00D45AE7">
        <w:rPr>
          <w:rFonts w:ascii="Verdana" w:hAnsi="Verdana"/>
          <w:sz w:val="22"/>
          <w:szCs w:val="22"/>
        </w:rPr>
        <w:t>commonwealth</w:t>
      </w:r>
      <w:r w:rsidR="00E307F8" w:rsidRPr="00D45AE7">
        <w:rPr>
          <w:rFonts w:ascii="Verdana" w:hAnsi="Verdana"/>
          <w:sz w:val="22"/>
          <w:szCs w:val="22"/>
        </w:rPr>
        <w:t xml:space="preserve"> </w:t>
      </w:r>
      <w:r w:rsidR="0004103F" w:rsidRPr="00D45AE7">
        <w:rPr>
          <w:rFonts w:ascii="Verdana" w:hAnsi="Verdana"/>
          <w:sz w:val="22"/>
          <w:szCs w:val="22"/>
        </w:rPr>
        <w:t>i</w:t>
      </w:r>
      <w:r w:rsidR="00E307F8" w:rsidRPr="00D45AE7">
        <w:rPr>
          <w:rFonts w:ascii="Verdana" w:hAnsi="Verdana"/>
          <w:sz w:val="22"/>
          <w:szCs w:val="22"/>
        </w:rPr>
        <w:t xml:space="preserve">nformation </w:t>
      </w:r>
      <w:r w:rsidR="0004103F" w:rsidRPr="00D45AE7">
        <w:rPr>
          <w:rFonts w:ascii="Verdana" w:hAnsi="Verdana"/>
          <w:sz w:val="22"/>
          <w:szCs w:val="22"/>
        </w:rPr>
        <w:t>s</w:t>
      </w:r>
      <w:r w:rsidR="00E307F8" w:rsidRPr="00D45AE7">
        <w:rPr>
          <w:rFonts w:ascii="Verdana" w:hAnsi="Verdana"/>
          <w:sz w:val="22"/>
          <w:szCs w:val="22"/>
        </w:rPr>
        <w:t xml:space="preserve">ecurity </w:t>
      </w:r>
      <w:r w:rsidR="0004103F" w:rsidRPr="00D45AE7">
        <w:rPr>
          <w:rFonts w:ascii="Verdana" w:hAnsi="Verdana"/>
          <w:sz w:val="22"/>
          <w:szCs w:val="22"/>
        </w:rPr>
        <w:t>g</w:t>
      </w:r>
      <w:r w:rsidR="00E307F8" w:rsidRPr="00D45AE7">
        <w:rPr>
          <w:rFonts w:ascii="Verdana" w:hAnsi="Verdana"/>
          <w:sz w:val="22"/>
          <w:szCs w:val="22"/>
        </w:rPr>
        <w:t>overnance</w:t>
      </w:r>
      <w:r w:rsidR="00C10F0A" w:rsidRPr="00D45AE7">
        <w:rPr>
          <w:rFonts w:ascii="Verdana" w:hAnsi="Verdana"/>
          <w:sz w:val="22"/>
          <w:szCs w:val="22"/>
        </w:rPr>
        <w:t xml:space="preserve"> program and </w:t>
      </w:r>
      <w:r w:rsidR="00C77249">
        <w:rPr>
          <w:rFonts w:ascii="Verdana" w:hAnsi="Verdana"/>
          <w:sz w:val="22"/>
          <w:szCs w:val="22"/>
        </w:rPr>
        <w:t xml:space="preserve">the </w:t>
      </w:r>
      <w:r w:rsidR="00C10F0A" w:rsidRPr="00D45AE7">
        <w:rPr>
          <w:rFonts w:ascii="Verdana" w:hAnsi="Verdana"/>
          <w:sz w:val="22"/>
          <w:szCs w:val="22"/>
        </w:rPr>
        <w:t xml:space="preserve">commonwealth risk management program.  </w:t>
      </w:r>
    </w:p>
    <w:p w14:paraId="07422FC3" w14:textId="2EC5DDEC" w:rsidR="0007424C" w:rsidRPr="007D5DB2" w:rsidRDefault="0007424C" w:rsidP="007D5DB2">
      <w:pPr>
        <w:pStyle w:val="Heading1"/>
        <w:rPr>
          <w:rFonts w:ascii="Verdana" w:hAnsi="Verdana"/>
          <w:color w:val="008000"/>
          <w:sz w:val="22"/>
          <w:szCs w:val="22"/>
        </w:rPr>
      </w:pPr>
      <w:bookmarkStart w:id="5" w:name="_Toc14262269"/>
      <w:r w:rsidRPr="007D5DB2">
        <w:rPr>
          <w:rFonts w:ascii="Verdana" w:hAnsi="Verdana"/>
          <w:color w:val="008000"/>
          <w:sz w:val="22"/>
          <w:szCs w:val="22"/>
        </w:rPr>
        <w:t xml:space="preserve">Commonwealth </w:t>
      </w:r>
      <w:r w:rsidR="003D6F29">
        <w:rPr>
          <w:rFonts w:ascii="Verdana" w:hAnsi="Verdana"/>
          <w:color w:val="008000"/>
          <w:sz w:val="22"/>
          <w:szCs w:val="22"/>
        </w:rPr>
        <w:t>t</w:t>
      </w:r>
      <w:r w:rsidRPr="007D5DB2">
        <w:rPr>
          <w:rFonts w:ascii="Verdana" w:hAnsi="Verdana"/>
          <w:color w:val="008000"/>
          <w:sz w:val="22"/>
          <w:szCs w:val="22"/>
        </w:rPr>
        <w:t xml:space="preserve">hreat </w:t>
      </w:r>
      <w:r w:rsidR="003D6F29">
        <w:rPr>
          <w:rFonts w:ascii="Verdana" w:hAnsi="Verdana"/>
          <w:color w:val="008000"/>
          <w:sz w:val="22"/>
          <w:szCs w:val="22"/>
        </w:rPr>
        <w:t>m</w:t>
      </w:r>
      <w:r w:rsidRPr="007D5DB2">
        <w:rPr>
          <w:rFonts w:ascii="Verdana" w:hAnsi="Verdana"/>
          <w:color w:val="008000"/>
          <w:sz w:val="22"/>
          <w:szCs w:val="22"/>
        </w:rPr>
        <w:t xml:space="preserve">anagement </w:t>
      </w:r>
      <w:r w:rsidR="003D6F29">
        <w:rPr>
          <w:rFonts w:ascii="Verdana" w:hAnsi="Verdana"/>
          <w:color w:val="008000"/>
          <w:sz w:val="22"/>
          <w:szCs w:val="22"/>
        </w:rPr>
        <w:t>p</w:t>
      </w:r>
      <w:r w:rsidRPr="007D5DB2">
        <w:rPr>
          <w:rFonts w:ascii="Verdana" w:hAnsi="Verdana"/>
          <w:color w:val="008000"/>
          <w:sz w:val="22"/>
          <w:szCs w:val="22"/>
        </w:rPr>
        <w:t>rogram</w:t>
      </w:r>
      <w:bookmarkEnd w:id="5"/>
    </w:p>
    <w:p w14:paraId="112F03BD" w14:textId="6358E54F" w:rsidR="0007424C" w:rsidRPr="0007424C" w:rsidRDefault="0007424C" w:rsidP="0007424C">
      <w:pPr>
        <w:rPr>
          <w:rFonts w:ascii="Verdana" w:hAnsi="Verdana"/>
          <w:sz w:val="22"/>
          <w:szCs w:val="22"/>
        </w:rPr>
      </w:pPr>
      <w:r w:rsidRPr="0007424C">
        <w:rPr>
          <w:rFonts w:ascii="Verdana" w:hAnsi="Verdana"/>
          <w:sz w:val="22"/>
          <w:szCs w:val="22"/>
        </w:rPr>
        <w:t>The threat management program monitors and manages potential malicious IT attacks against commonwealth agencies and information. CSRM collects information from within the VITA IT infrastructure program, as well as agencies falling outside the scope of the IT infrastructure program to evaluate the commonwealth's threat posture overall. This information is analyzed to identify threats affecting the commonwealth, to identify widespread vulnerabilities and to respond appropriately. Some of the key components of the program are highlighted in this report.</w:t>
      </w:r>
    </w:p>
    <w:p w14:paraId="40FA0F83" w14:textId="363B4A0B" w:rsidR="00EF4FC6" w:rsidRPr="0007424C" w:rsidRDefault="00EF4FC6" w:rsidP="007D5DB2">
      <w:pPr>
        <w:pStyle w:val="Heading2"/>
        <w:rPr>
          <w:rFonts w:eastAsiaTheme="minorHAnsi"/>
        </w:rPr>
      </w:pPr>
      <w:bookmarkStart w:id="6" w:name="_Toc14262270"/>
      <w:bookmarkStart w:id="7" w:name="_Toc494117119"/>
      <w:r w:rsidRPr="0007424C">
        <w:rPr>
          <w:rFonts w:eastAsiaTheme="minorHAnsi"/>
        </w:rPr>
        <w:t xml:space="preserve">Commonwealth </w:t>
      </w:r>
      <w:r w:rsidR="00336B4E">
        <w:rPr>
          <w:rFonts w:eastAsiaTheme="minorHAnsi"/>
        </w:rPr>
        <w:t>c</w:t>
      </w:r>
      <w:r w:rsidRPr="0007424C">
        <w:rPr>
          <w:rFonts w:eastAsiaTheme="minorHAnsi"/>
        </w:rPr>
        <w:t>yber</w:t>
      </w:r>
      <w:r w:rsidR="00C04E6C">
        <w:rPr>
          <w:rFonts w:eastAsiaTheme="minorHAnsi"/>
        </w:rPr>
        <w:t xml:space="preserve"> </w:t>
      </w:r>
      <w:r w:rsidR="003D6F29">
        <w:rPr>
          <w:rFonts w:eastAsiaTheme="minorHAnsi"/>
        </w:rPr>
        <w:t>t</w:t>
      </w:r>
      <w:r w:rsidRPr="0007424C">
        <w:rPr>
          <w:rFonts w:eastAsiaTheme="minorHAnsi"/>
        </w:rPr>
        <w:t xml:space="preserve">hreat and </w:t>
      </w:r>
      <w:r w:rsidR="003D6F29">
        <w:rPr>
          <w:rFonts w:eastAsiaTheme="minorHAnsi"/>
        </w:rPr>
        <w:t>a</w:t>
      </w:r>
      <w:r w:rsidRPr="0007424C">
        <w:rPr>
          <w:rFonts w:eastAsiaTheme="minorHAnsi"/>
        </w:rPr>
        <w:t xml:space="preserve">ttack </w:t>
      </w:r>
      <w:r w:rsidR="003D6F29">
        <w:rPr>
          <w:rFonts w:eastAsiaTheme="minorHAnsi"/>
        </w:rPr>
        <w:t>a</w:t>
      </w:r>
      <w:r w:rsidRPr="0007424C">
        <w:rPr>
          <w:rFonts w:eastAsiaTheme="minorHAnsi"/>
        </w:rPr>
        <w:t>nalysis</w:t>
      </w:r>
      <w:bookmarkEnd w:id="6"/>
    </w:p>
    <w:p w14:paraId="5431D88D" w14:textId="356A02AE" w:rsidR="00EF4FC6" w:rsidRPr="0007424C" w:rsidRDefault="00EF4FC6" w:rsidP="00EF4FC6">
      <w:pPr>
        <w:spacing w:after="200"/>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 xml:space="preserve">The </w:t>
      </w:r>
      <w:r w:rsidRPr="0007424C">
        <w:rPr>
          <w:rFonts w:ascii="Verdana" w:eastAsiaTheme="minorHAnsi" w:hAnsi="Verdana" w:cstheme="minorBidi"/>
          <w:i/>
          <w:color w:val="auto"/>
          <w:sz w:val="22"/>
          <w:szCs w:val="22"/>
        </w:rPr>
        <w:t>Code of Virginia</w:t>
      </w:r>
      <w:r w:rsidRPr="0007424C">
        <w:rPr>
          <w:rFonts w:ascii="Verdana" w:eastAsiaTheme="minorHAnsi" w:hAnsi="Verdana" w:cstheme="minorBidi"/>
          <w:color w:val="auto"/>
          <w:sz w:val="22"/>
          <w:szCs w:val="22"/>
        </w:rPr>
        <w:t>,</w:t>
      </w:r>
      <w:r w:rsidRPr="0007424C">
        <w:rPr>
          <w:rFonts w:ascii="Verdana" w:eastAsiaTheme="minorHAnsi" w:hAnsi="Verdana" w:cstheme="minorBidi"/>
          <w:i/>
          <w:color w:val="auto"/>
          <w:sz w:val="22"/>
          <w:szCs w:val="22"/>
        </w:rPr>
        <w:t xml:space="preserve"> §2.2-603(F)</w:t>
      </w:r>
      <w:r w:rsidRPr="0007424C">
        <w:rPr>
          <w:rFonts w:ascii="Verdana" w:eastAsiaTheme="minorHAnsi" w:hAnsi="Verdana" w:cstheme="minorBidi"/>
          <w:color w:val="auto"/>
          <w:sz w:val="22"/>
          <w:szCs w:val="22"/>
        </w:rPr>
        <w:t xml:space="preserve">, requires all executive branch agency directors to report IT security incidents to the CIO within 24 hours of discovery in accordance with </w:t>
      </w:r>
      <w:r w:rsidRPr="0007424C">
        <w:rPr>
          <w:rFonts w:ascii="Verdana" w:hAnsi="Verdana" w:cs="Times New Roman"/>
          <w:color w:val="auto"/>
          <w:sz w:val="22"/>
          <w:szCs w:val="22"/>
        </w:rPr>
        <w:t>security standard SEC501</w:t>
      </w:r>
      <w:r w:rsidRPr="0007424C">
        <w:rPr>
          <w:rFonts w:ascii="Verdana" w:eastAsiaTheme="minorHAnsi" w:hAnsi="Verdana" w:cstheme="minorBidi"/>
          <w:color w:val="auto"/>
          <w:sz w:val="22"/>
          <w:szCs w:val="22"/>
        </w:rPr>
        <w:t xml:space="preserve">. The CSIRT then categorizes each security incident based on the type of activity. </w:t>
      </w:r>
    </w:p>
    <w:p w14:paraId="174D6966" w14:textId="77777777" w:rsidR="00EF4FC6" w:rsidRPr="0007424C" w:rsidRDefault="00EF4FC6" w:rsidP="00EF4FC6">
      <w:pPr>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During 201</w:t>
      </w:r>
      <w:r>
        <w:rPr>
          <w:rFonts w:ascii="Verdana" w:eastAsiaTheme="minorHAnsi" w:hAnsi="Verdana" w:cstheme="minorBidi"/>
          <w:color w:val="auto"/>
          <w:sz w:val="22"/>
          <w:szCs w:val="22"/>
        </w:rPr>
        <w:t>8</w:t>
      </w:r>
      <w:r w:rsidRPr="0007424C">
        <w:rPr>
          <w:rFonts w:ascii="Verdana" w:eastAsiaTheme="minorHAnsi" w:hAnsi="Verdana" w:cstheme="minorBidi"/>
          <w:color w:val="auto"/>
          <w:sz w:val="22"/>
          <w:szCs w:val="22"/>
        </w:rPr>
        <w:t xml:space="preserve">, the Commonwealth of Virginia continued to be a target for cyberattack.  </w:t>
      </w:r>
    </w:p>
    <w:p w14:paraId="0FD12F2C" w14:textId="547B4E48" w:rsidR="00EF4FC6" w:rsidRPr="0007424C" w:rsidRDefault="00EF4FC6" w:rsidP="00EF4FC6">
      <w:pPr>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The commonwealth experienced 33</w:t>
      </w:r>
      <w:r w:rsidRPr="0007424C">
        <w:rPr>
          <w:rFonts w:ascii="Verdana" w:eastAsiaTheme="minorHAnsi" w:hAnsi="Verdana" w:cstheme="minorBidi"/>
          <w:bCs/>
          <w:color w:val="auto"/>
          <w:sz w:val="22"/>
          <w:szCs w:val="22"/>
        </w:rPr>
        <w:t xml:space="preserve"> million</w:t>
      </w:r>
      <w:r w:rsidRPr="0007424C">
        <w:rPr>
          <w:rFonts w:ascii="Verdana" w:eastAsiaTheme="minorHAnsi" w:hAnsi="Verdana" w:cstheme="minorBidi"/>
          <w:color w:val="auto"/>
          <w:sz w:val="22"/>
          <w:szCs w:val="22"/>
        </w:rPr>
        <w:t xml:space="preserve"> attack attempts on the network and more than 489,000 pieces of malware. Despite many layers of protection, the commonwealth still experienced 151 successful IT security incidents. </w:t>
      </w:r>
      <w:r w:rsidR="001511E6">
        <w:rPr>
          <w:rFonts w:ascii="Verdana" w:eastAsiaTheme="minorHAnsi" w:hAnsi="Verdana" w:cstheme="minorBidi"/>
          <w:color w:val="auto"/>
          <w:sz w:val="22"/>
          <w:szCs w:val="22"/>
        </w:rPr>
        <w:t>Threat data for 2018 was limited due to the supplier transition and loss of some of our standard reporting sources.</w:t>
      </w:r>
    </w:p>
    <w:p w14:paraId="670B588A" w14:textId="77777777" w:rsidR="00EF4FC6" w:rsidRPr="0007424C" w:rsidRDefault="00EF4FC6" w:rsidP="00EF4FC6">
      <w:pPr>
        <w:rPr>
          <w:rFonts w:ascii="Verdana" w:eastAsiaTheme="minorHAnsi" w:hAnsi="Verdana" w:cstheme="minorBidi"/>
          <w:color w:val="auto"/>
          <w:sz w:val="22"/>
          <w:szCs w:val="22"/>
        </w:rPr>
      </w:pPr>
    </w:p>
    <w:p w14:paraId="395090C2" w14:textId="587E9BB9" w:rsidR="00EF4FC6" w:rsidRPr="0007424C" w:rsidRDefault="00EF4FC6" w:rsidP="00EF4FC6">
      <w:pPr>
        <w:rPr>
          <w:rFonts w:ascii="Verdana" w:eastAsiaTheme="minorHAnsi" w:hAnsi="Verdana" w:cstheme="minorBidi"/>
          <w:b/>
          <w:color w:val="auto"/>
          <w:sz w:val="22"/>
          <w:szCs w:val="22"/>
        </w:rPr>
      </w:pPr>
      <w:r w:rsidRPr="0007424C">
        <w:rPr>
          <w:rFonts w:ascii="Verdana" w:eastAsiaTheme="minorHAnsi" w:hAnsi="Verdana" w:cstheme="minorBidi"/>
          <w:b/>
          <w:color w:val="auto"/>
          <w:sz w:val="22"/>
          <w:szCs w:val="22"/>
        </w:rPr>
        <w:t>Inside</w:t>
      </w:r>
      <w:r w:rsidR="003D6F29">
        <w:rPr>
          <w:rFonts w:ascii="Verdana" w:eastAsiaTheme="minorHAnsi" w:hAnsi="Verdana" w:cstheme="minorBidi"/>
          <w:b/>
          <w:color w:val="auto"/>
          <w:sz w:val="22"/>
          <w:szCs w:val="22"/>
        </w:rPr>
        <w:t>r</w:t>
      </w:r>
      <w:r w:rsidRPr="0007424C">
        <w:rPr>
          <w:rFonts w:ascii="Verdana" w:eastAsiaTheme="minorHAnsi" w:hAnsi="Verdana" w:cstheme="minorBidi"/>
          <w:b/>
          <w:color w:val="auto"/>
          <w:sz w:val="22"/>
          <w:szCs w:val="22"/>
        </w:rPr>
        <w:t xml:space="preserve"> threat was the largest attack vector during 2018.</w:t>
      </w:r>
      <w:r w:rsidRPr="0007424C" w:rsidDel="00C01360">
        <w:rPr>
          <w:rFonts w:ascii="Verdana" w:eastAsiaTheme="minorHAnsi" w:hAnsi="Verdana" w:cstheme="minorBidi"/>
          <w:b/>
          <w:color w:val="auto"/>
          <w:sz w:val="22"/>
          <w:szCs w:val="22"/>
        </w:rPr>
        <w:t xml:space="preserve"> </w:t>
      </w:r>
    </w:p>
    <w:p w14:paraId="19E783E4" w14:textId="49CD969A" w:rsidR="00EF4FC6" w:rsidRPr="0007424C" w:rsidRDefault="00EF4FC6" w:rsidP="00EF4FC6">
      <w:pPr>
        <w:rPr>
          <w:rFonts w:ascii="Verdana" w:eastAsiaTheme="minorHAnsi" w:hAnsi="Verdana" w:cstheme="minorBidi"/>
          <w:color w:val="auto"/>
          <w:sz w:val="22"/>
          <w:szCs w:val="22"/>
        </w:rPr>
      </w:pPr>
      <w:r>
        <w:rPr>
          <w:rFonts w:ascii="Verdana" w:eastAsiaTheme="minorHAnsi" w:hAnsi="Verdana" w:cstheme="minorBidi"/>
          <w:color w:val="auto"/>
          <w:sz w:val="22"/>
          <w:szCs w:val="22"/>
        </w:rPr>
        <w:t>The commonwealth uses a defense in</w:t>
      </w:r>
      <w:r w:rsidR="003D6F29">
        <w:rPr>
          <w:rFonts w:ascii="Verdana" w:eastAsiaTheme="minorHAnsi" w:hAnsi="Verdana" w:cstheme="minorBidi"/>
          <w:color w:val="auto"/>
          <w:sz w:val="22"/>
          <w:szCs w:val="22"/>
        </w:rPr>
        <w:t>-</w:t>
      </w:r>
      <w:r>
        <w:rPr>
          <w:rFonts w:ascii="Verdana" w:eastAsiaTheme="minorHAnsi" w:hAnsi="Verdana" w:cstheme="minorBidi"/>
          <w:color w:val="auto"/>
          <w:sz w:val="22"/>
          <w:szCs w:val="22"/>
        </w:rPr>
        <w:t xml:space="preserve">depth approach that includes implementation of the </w:t>
      </w:r>
      <w:r w:rsidR="00336B4E">
        <w:rPr>
          <w:rFonts w:ascii="Verdana" w:eastAsiaTheme="minorHAnsi" w:hAnsi="Verdana" w:cstheme="minorBidi"/>
          <w:color w:val="auto"/>
          <w:sz w:val="22"/>
          <w:szCs w:val="22"/>
        </w:rPr>
        <w:t>Center for Internet Security (</w:t>
      </w:r>
      <w:r>
        <w:rPr>
          <w:rFonts w:ascii="Verdana" w:eastAsiaTheme="minorHAnsi" w:hAnsi="Verdana" w:cstheme="minorBidi"/>
          <w:color w:val="auto"/>
          <w:sz w:val="22"/>
          <w:szCs w:val="22"/>
        </w:rPr>
        <w:t>CIS</w:t>
      </w:r>
      <w:r w:rsidR="00336B4E">
        <w:rPr>
          <w:rFonts w:ascii="Verdana" w:eastAsiaTheme="minorHAnsi" w:hAnsi="Verdana" w:cstheme="minorBidi"/>
          <w:color w:val="auto"/>
          <w:sz w:val="22"/>
          <w:szCs w:val="22"/>
        </w:rPr>
        <w:t>)</w:t>
      </w:r>
      <w:r>
        <w:rPr>
          <w:rFonts w:ascii="Verdana" w:eastAsiaTheme="minorHAnsi" w:hAnsi="Verdana" w:cstheme="minorBidi"/>
          <w:color w:val="auto"/>
          <w:sz w:val="22"/>
          <w:szCs w:val="22"/>
        </w:rPr>
        <w:t xml:space="preserve"> top 20 controls to harden systems. This approach has limited the number of systems being compromised by attack. During 2018, the greatest exposure was due to insider threat. </w:t>
      </w:r>
      <w:r w:rsidR="0039368E">
        <w:rPr>
          <w:rFonts w:ascii="Verdana" w:eastAsiaTheme="minorHAnsi" w:hAnsi="Verdana" w:cstheme="minorBidi"/>
          <w:color w:val="auto"/>
          <w:sz w:val="22"/>
          <w:szCs w:val="22"/>
        </w:rPr>
        <w:t xml:space="preserve">Insider threat is identified as actions, whether intentional or unintentional, carried out by commonwealth employees or agents resulting in harm to commonwealth data or infrastructure.  </w:t>
      </w:r>
      <w:r w:rsidR="001511E6">
        <w:rPr>
          <w:rFonts w:ascii="Verdana" w:eastAsiaTheme="minorHAnsi" w:hAnsi="Verdana" w:cstheme="minorBidi"/>
          <w:color w:val="auto"/>
          <w:sz w:val="22"/>
          <w:szCs w:val="22"/>
        </w:rPr>
        <w:t>With the large number of employees turned over supporting the infrastructure combined with the unusually high loss of information security personnel</w:t>
      </w:r>
      <w:r w:rsidR="0039368E">
        <w:rPr>
          <w:rFonts w:ascii="Verdana" w:eastAsiaTheme="minorHAnsi" w:hAnsi="Verdana" w:cstheme="minorBidi"/>
          <w:color w:val="auto"/>
          <w:sz w:val="22"/>
          <w:szCs w:val="22"/>
        </w:rPr>
        <w:t xml:space="preserve"> across the commonwealth likely resulted in</w:t>
      </w:r>
      <w:r w:rsidR="001511E6">
        <w:rPr>
          <w:rFonts w:ascii="Verdana" w:eastAsiaTheme="minorHAnsi" w:hAnsi="Verdana" w:cstheme="minorBidi"/>
          <w:color w:val="auto"/>
          <w:sz w:val="22"/>
          <w:szCs w:val="22"/>
        </w:rPr>
        <w:t xml:space="preserve"> </w:t>
      </w:r>
      <w:r w:rsidR="0039368E">
        <w:rPr>
          <w:rFonts w:ascii="Verdana" w:eastAsiaTheme="minorHAnsi" w:hAnsi="Verdana" w:cstheme="minorBidi"/>
          <w:color w:val="auto"/>
          <w:sz w:val="22"/>
          <w:szCs w:val="22"/>
        </w:rPr>
        <w:t>less effective</w:t>
      </w:r>
      <w:r w:rsidR="001511E6">
        <w:rPr>
          <w:rFonts w:ascii="Verdana" w:eastAsiaTheme="minorHAnsi" w:hAnsi="Verdana" w:cstheme="minorBidi"/>
          <w:color w:val="auto"/>
          <w:sz w:val="22"/>
          <w:szCs w:val="22"/>
        </w:rPr>
        <w:t xml:space="preserve"> monitoring of the environment</w:t>
      </w:r>
      <w:r w:rsidR="0039368E">
        <w:rPr>
          <w:rFonts w:ascii="Verdana" w:eastAsiaTheme="minorHAnsi" w:hAnsi="Verdana" w:cstheme="minorBidi"/>
          <w:color w:val="auto"/>
          <w:sz w:val="22"/>
          <w:szCs w:val="22"/>
        </w:rPr>
        <w:t xml:space="preserve">.  While it will be difficult to tell with certainty if any issues were a result of these changes CSRM will attempt to review the environment for areas of concern.  Once a review is complete CSRM will investigate options to help reduce the chance of a similar situation occurring in the future.  </w:t>
      </w:r>
    </w:p>
    <w:p w14:paraId="61BB70E2" w14:textId="77777777" w:rsidR="00EF4FC6" w:rsidRDefault="00EF4FC6" w:rsidP="00EF4FC6">
      <w:pPr>
        <w:rPr>
          <w:rFonts w:ascii="Verdana" w:eastAsiaTheme="minorHAnsi" w:hAnsi="Verdana" w:cstheme="minorBidi"/>
          <w:color w:val="auto"/>
          <w:sz w:val="22"/>
          <w:szCs w:val="22"/>
        </w:rPr>
      </w:pPr>
    </w:p>
    <w:p w14:paraId="6EE66AA3" w14:textId="496F0F48" w:rsidR="00EF4FC6" w:rsidRDefault="00EF4FC6" w:rsidP="00EF4FC6">
      <w:pPr>
        <w:rPr>
          <w:rFonts w:ascii="Verdana" w:eastAsiaTheme="minorHAnsi" w:hAnsi="Verdana" w:cstheme="minorBidi"/>
          <w:color w:val="auto"/>
          <w:sz w:val="22"/>
          <w:szCs w:val="22"/>
        </w:rPr>
      </w:pPr>
      <w:r>
        <w:rPr>
          <w:rFonts w:ascii="Verdana" w:eastAsiaTheme="minorHAnsi" w:hAnsi="Verdana" w:cstheme="minorBidi"/>
          <w:color w:val="auto"/>
          <w:sz w:val="22"/>
          <w:szCs w:val="22"/>
        </w:rPr>
        <w:t xml:space="preserve">In addition to </w:t>
      </w:r>
      <w:r w:rsidR="0039368E">
        <w:rPr>
          <w:rFonts w:ascii="Verdana" w:eastAsiaTheme="minorHAnsi" w:hAnsi="Verdana" w:cstheme="minorBidi"/>
          <w:color w:val="auto"/>
          <w:sz w:val="22"/>
          <w:szCs w:val="22"/>
        </w:rPr>
        <w:t>the personnel aspect of the insider threat</w:t>
      </w:r>
      <w:r>
        <w:rPr>
          <w:rFonts w:ascii="Verdana" w:eastAsiaTheme="minorHAnsi" w:hAnsi="Verdana" w:cstheme="minorBidi"/>
          <w:color w:val="auto"/>
          <w:sz w:val="22"/>
          <w:szCs w:val="22"/>
        </w:rPr>
        <w:t xml:space="preserve">, there were a large number of assets reported lost or stolen. In preparation for </w:t>
      </w:r>
      <w:r w:rsidR="0039368E">
        <w:rPr>
          <w:rFonts w:ascii="Verdana" w:eastAsiaTheme="minorHAnsi" w:hAnsi="Verdana" w:cstheme="minorBidi"/>
          <w:color w:val="auto"/>
          <w:sz w:val="22"/>
          <w:szCs w:val="22"/>
        </w:rPr>
        <w:t>transitioning to the new suppliers</w:t>
      </w:r>
      <w:r>
        <w:rPr>
          <w:rFonts w:ascii="Verdana" w:eastAsiaTheme="minorHAnsi" w:hAnsi="Verdana" w:cstheme="minorBidi"/>
          <w:color w:val="auto"/>
          <w:sz w:val="22"/>
          <w:szCs w:val="22"/>
        </w:rPr>
        <w:t xml:space="preserve">, </w:t>
      </w:r>
      <w:r w:rsidRPr="0007424C">
        <w:rPr>
          <w:rFonts w:ascii="Verdana" w:eastAsiaTheme="minorHAnsi" w:hAnsi="Verdana" w:cstheme="minorBidi"/>
          <w:color w:val="auto"/>
          <w:sz w:val="22"/>
          <w:szCs w:val="22"/>
        </w:rPr>
        <w:t xml:space="preserve">VITA and the agencies worked together to </w:t>
      </w:r>
      <w:r>
        <w:rPr>
          <w:rFonts w:ascii="Verdana" w:eastAsiaTheme="minorHAnsi" w:hAnsi="Verdana" w:cstheme="minorBidi"/>
          <w:color w:val="auto"/>
          <w:sz w:val="22"/>
          <w:szCs w:val="22"/>
        </w:rPr>
        <w:t xml:space="preserve">verify the asset inventory. </w:t>
      </w:r>
      <w:r w:rsidRPr="0007424C">
        <w:rPr>
          <w:rFonts w:ascii="Verdana" w:eastAsiaTheme="minorHAnsi" w:hAnsi="Verdana" w:cstheme="minorBidi"/>
          <w:color w:val="auto"/>
          <w:sz w:val="22"/>
          <w:szCs w:val="22"/>
        </w:rPr>
        <w:t>Many discrepancies were identified</w:t>
      </w:r>
      <w:r>
        <w:rPr>
          <w:rFonts w:ascii="Verdana" w:eastAsiaTheme="minorHAnsi" w:hAnsi="Verdana" w:cstheme="minorBidi"/>
          <w:color w:val="auto"/>
          <w:sz w:val="22"/>
          <w:szCs w:val="22"/>
        </w:rPr>
        <w:t xml:space="preserve"> which is believed to be a result of the refresh process</w:t>
      </w:r>
      <w:r w:rsidR="003D6F29">
        <w:rPr>
          <w:rFonts w:ascii="Verdana" w:eastAsiaTheme="minorHAnsi" w:hAnsi="Verdana" w:cstheme="minorBidi"/>
          <w:color w:val="auto"/>
          <w:sz w:val="22"/>
          <w:szCs w:val="22"/>
        </w:rPr>
        <w:t xml:space="preserve"> where an old </w:t>
      </w:r>
      <w:r>
        <w:rPr>
          <w:rFonts w:ascii="Verdana" w:eastAsiaTheme="minorHAnsi" w:hAnsi="Verdana" w:cstheme="minorBidi"/>
          <w:color w:val="auto"/>
          <w:sz w:val="22"/>
          <w:szCs w:val="22"/>
        </w:rPr>
        <w:t xml:space="preserve">device </w:t>
      </w:r>
      <w:r w:rsidR="003D6F29">
        <w:rPr>
          <w:rFonts w:ascii="Verdana" w:eastAsiaTheme="minorHAnsi" w:hAnsi="Verdana" w:cstheme="minorBidi"/>
          <w:color w:val="auto"/>
          <w:sz w:val="22"/>
          <w:szCs w:val="22"/>
        </w:rPr>
        <w:t xml:space="preserve">was replaced </w:t>
      </w:r>
      <w:r>
        <w:rPr>
          <w:rFonts w:ascii="Verdana" w:eastAsiaTheme="minorHAnsi" w:hAnsi="Verdana" w:cstheme="minorBidi"/>
          <w:color w:val="auto"/>
          <w:sz w:val="22"/>
          <w:szCs w:val="22"/>
        </w:rPr>
        <w:t xml:space="preserve">with a new one. </w:t>
      </w:r>
      <w:r w:rsidR="003D6F29">
        <w:rPr>
          <w:rFonts w:ascii="Verdana" w:eastAsiaTheme="minorHAnsi" w:hAnsi="Verdana" w:cstheme="minorBidi"/>
          <w:color w:val="auto"/>
          <w:sz w:val="22"/>
          <w:szCs w:val="22"/>
        </w:rPr>
        <w:t>The old device</w:t>
      </w:r>
      <w:r>
        <w:rPr>
          <w:rFonts w:ascii="Verdana" w:eastAsiaTheme="minorHAnsi" w:hAnsi="Verdana" w:cstheme="minorBidi"/>
          <w:color w:val="auto"/>
          <w:sz w:val="22"/>
          <w:szCs w:val="22"/>
        </w:rPr>
        <w:t xml:space="preserve"> was to be picked up from the agency, have the data wiped and then sent off to disposal. </w:t>
      </w:r>
      <w:r w:rsidR="003D6F29">
        <w:rPr>
          <w:rFonts w:ascii="Verdana" w:eastAsiaTheme="minorHAnsi" w:hAnsi="Verdana" w:cstheme="minorBidi"/>
          <w:color w:val="auto"/>
          <w:sz w:val="22"/>
          <w:szCs w:val="22"/>
        </w:rPr>
        <w:t>After</w:t>
      </w:r>
      <w:r>
        <w:rPr>
          <w:rFonts w:ascii="Verdana" w:eastAsiaTheme="minorHAnsi" w:hAnsi="Verdana" w:cstheme="minorBidi"/>
          <w:color w:val="auto"/>
          <w:sz w:val="22"/>
          <w:szCs w:val="22"/>
        </w:rPr>
        <w:t xml:space="preserve"> disposal, the asset inventory was to be update</w:t>
      </w:r>
      <w:r w:rsidR="003D6F29">
        <w:rPr>
          <w:rFonts w:ascii="Verdana" w:eastAsiaTheme="minorHAnsi" w:hAnsi="Verdana" w:cstheme="minorBidi"/>
          <w:color w:val="auto"/>
          <w:sz w:val="22"/>
          <w:szCs w:val="22"/>
        </w:rPr>
        <w:t>d</w:t>
      </w:r>
      <w:r>
        <w:rPr>
          <w:rFonts w:ascii="Verdana" w:eastAsiaTheme="minorHAnsi" w:hAnsi="Verdana" w:cstheme="minorBidi"/>
          <w:color w:val="auto"/>
          <w:sz w:val="22"/>
          <w:szCs w:val="22"/>
        </w:rPr>
        <w:t xml:space="preserve"> with a status of disposed. The records for the pickup, wiping and disposal were not consistently provided to the agencies or VITA. As a result, it was </w:t>
      </w:r>
      <w:r w:rsidR="0039368E">
        <w:rPr>
          <w:rFonts w:ascii="Verdana" w:eastAsiaTheme="minorHAnsi" w:hAnsi="Verdana" w:cstheme="minorBidi"/>
          <w:color w:val="auto"/>
          <w:sz w:val="22"/>
          <w:szCs w:val="22"/>
        </w:rPr>
        <w:t xml:space="preserve">not possible </w:t>
      </w:r>
      <w:r>
        <w:rPr>
          <w:rFonts w:ascii="Verdana" w:eastAsiaTheme="minorHAnsi" w:hAnsi="Verdana" w:cstheme="minorBidi"/>
          <w:color w:val="auto"/>
          <w:sz w:val="22"/>
          <w:szCs w:val="22"/>
        </w:rPr>
        <w:t>to determine whether the asset had been lost, stolen or sent to disposal. To resolve this discrepancy, the assets that could not be located were submitted as “lost” equipment. These inventory discrepancies accounted for 7% of incidents for 2018.</w:t>
      </w:r>
    </w:p>
    <w:p w14:paraId="1895D592" w14:textId="77777777" w:rsidR="00EF4FC6" w:rsidRDefault="00EF4FC6" w:rsidP="00EF4FC6">
      <w:pPr>
        <w:rPr>
          <w:rFonts w:ascii="Verdana" w:eastAsiaTheme="minorHAnsi" w:hAnsi="Verdana" w:cstheme="minorBidi"/>
          <w:color w:val="auto"/>
          <w:sz w:val="22"/>
          <w:szCs w:val="22"/>
        </w:rPr>
      </w:pPr>
    </w:p>
    <w:p w14:paraId="472EFA29" w14:textId="109CA8FE" w:rsidR="00EF4FC6" w:rsidRPr="0007424C" w:rsidRDefault="00EF4FC6" w:rsidP="00EF4FC6">
      <w:pPr>
        <w:rPr>
          <w:rFonts w:ascii="Verdana" w:eastAsiaTheme="minorHAnsi" w:hAnsi="Verdana" w:cstheme="minorBidi"/>
          <w:color w:val="auto"/>
          <w:sz w:val="22"/>
          <w:szCs w:val="22"/>
        </w:rPr>
      </w:pPr>
      <w:r>
        <w:rPr>
          <w:rFonts w:ascii="Verdana" w:eastAsiaTheme="minorHAnsi" w:hAnsi="Verdana" w:cstheme="minorBidi"/>
          <w:color w:val="auto"/>
          <w:sz w:val="22"/>
          <w:szCs w:val="22"/>
        </w:rPr>
        <w:t>In addition to asset inventory discrepancies, c</w:t>
      </w:r>
      <w:r w:rsidRPr="0007424C">
        <w:rPr>
          <w:rFonts w:ascii="Verdana" w:eastAsiaTheme="minorHAnsi" w:hAnsi="Verdana" w:cstheme="minorBidi"/>
          <w:color w:val="auto"/>
          <w:sz w:val="22"/>
          <w:szCs w:val="22"/>
        </w:rPr>
        <w:t>ommonwealth employees were targets for the theft of laptops and cell phones</w:t>
      </w:r>
      <w:r>
        <w:rPr>
          <w:rFonts w:ascii="Verdana" w:eastAsiaTheme="minorHAnsi" w:hAnsi="Verdana" w:cstheme="minorBidi"/>
          <w:color w:val="auto"/>
          <w:sz w:val="22"/>
          <w:szCs w:val="22"/>
        </w:rPr>
        <w:t>.</w:t>
      </w:r>
      <w:r w:rsidRPr="0007424C" w:rsidDel="00E620C6">
        <w:rPr>
          <w:rFonts w:ascii="Verdana" w:eastAsiaTheme="minorHAnsi" w:hAnsi="Verdana" w:cstheme="minorBidi"/>
          <w:color w:val="auto"/>
          <w:sz w:val="22"/>
          <w:szCs w:val="22"/>
        </w:rPr>
        <w:t xml:space="preserve"> </w:t>
      </w:r>
      <w:r>
        <w:rPr>
          <w:rFonts w:ascii="Verdana" w:eastAsiaTheme="minorHAnsi" w:hAnsi="Verdana" w:cstheme="minorBidi"/>
          <w:color w:val="auto"/>
          <w:sz w:val="22"/>
          <w:szCs w:val="22"/>
        </w:rPr>
        <w:t>These incidents of physical theft or loss accounted for 23</w:t>
      </w:r>
      <w:r w:rsidR="000D3230">
        <w:rPr>
          <w:rFonts w:ascii="Verdana" w:eastAsiaTheme="minorHAnsi" w:hAnsi="Verdana" w:cstheme="minorBidi"/>
          <w:color w:val="auto"/>
          <w:sz w:val="22"/>
          <w:szCs w:val="22"/>
        </w:rPr>
        <w:t xml:space="preserve"> percent </w:t>
      </w:r>
      <w:r>
        <w:rPr>
          <w:rFonts w:ascii="Verdana" w:eastAsiaTheme="minorHAnsi" w:hAnsi="Verdana" w:cstheme="minorBidi"/>
          <w:color w:val="auto"/>
          <w:sz w:val="22"/>
          <w:szCs w:val="22"/>
        </w:rPr>
        <w:t>of incidents in 2018.</w:t>
      </w:r>
    </w:p>
    <w:p w14:paraId="703FD29B" w14:textId="77777777" w:rsidR="00EF4FC6" w:rsidRPr="0007424C" w:rsidRDefault="00EF4FC6" w:rsidP="00EF4FC6">
      <w:pPr>
        <w:rPr>
          <w:rFonts w:ascii="Verdana" w:eastAsiaTheme="minorHAnsi" w:hAnsi="Verdana" w:cstheme="minorBidi"/>
          <w:color w:val="auto"/>
          <w:sz w:val="22"/>
          <w:szCs w:val="22"/>
        </w:rPr>
      </w:pPr>
    </w:p>
    <w:p w14:paraId="250CB252" w14:textId="77777777" w:rsidR="002B7A20" w:rsidRDefault="002B7A20" w:rsidP="00EF4FC6">
      <w:pPr>
        <w:rPr>
          <w:rFonts w:ascii="Verdana" w:eastAsiaTheme="minorHAnsi" w:hAnsi="Verdana" w:cstheme="minorBidi"/>
          <w:b/>
          <w:color w:val="auto"/>
          <w:sz w:val="22"/>
          <w:szCs w:val="22"/>
        </w:rPr>
      </w:pPr>
    </w:p>
    <w:p w14:paraId="5B7F6ABC" w14:textId="73F7142B" w:rsidR="00EF4FC6" w:rsidRDefault="00EF4FC6" w:rsidP="00EF4FC6">
      <w:pPr>
        <w:rPr>
          <w:rFonts w:ascii="Verdana" w:eastAsiaTheme="minorHAnsi" w:hAnsi="Verdana" w:cstheme="minorBidi"/>
          <w:color w:val="auto"/>
          <w:sz w:val="22"/>
          <w:szCs w:val="22"/>
        </w:rPr>
      </w:pPr>
      <w:r w:rsidRPr="00CA4E6F">
        <w:rPr>
          <w:rFonts w:ascii="Verdana" w:eastAsiaTheme="minorHAnsi" w:hAnsi="Verdana" w:cstheme="minorBidi"/>
          <w:b/>
          <w:color w:val="auto"/>
          <w:sz w:val="22"/>
          <w:szCs w:val="22"/>
        </w:rPr>
        <w:t xml:space="preserve">Information </w:t>
      </w:r>
      <w:r w:rsidR="00637027">
        <w:rPr>
          <w:rFonts w:ascii="Verdana" w:eastAsiaTheme="minorHAnsi" w:hAnsi="Verdana" w:cstheme="minorBidi"/>
          <w:b/>
          <w:color w:val="auto"/>
          <w:sz w:val="22"/>
          <w:szCs w:val="22"/>
        </w:rPr>
        <w:t>d</w:t>
      </w:r>
      <w:r w:rsidRPr="00CA4E6F">
        <w:rPr>
          <w:rFonts w:ascii="Verdana" w:eastAsiaTheme="minorHAnsi" w:hAnsi="Verdana" w:cstheme="minorBidi"/>
          <w:b/>
          <w:color w:val="auto"/>
          <w:sz w:val="22"/>
          <w:szCs w:val="22"/>
        </w:rPr>
        <w:t>isclosure was the second largest category of incidents for 2018.</w:t>
      </w:r>
      <w:r>
        <w:rPr>
          <w:rFonts w:ascii="Verdana" w:eastAsiaTheme="minorHAnsi" w:hAnsi="Verdana" w:cstheme="minorBidi"/>
          <w:color w:val="auto"/>
          <w:sz w:val="22"/>
          <w:szCs w:val="22"/>
        </w:rPr>
        <w:t xml:space="preserve">   </w:t>
      </w:r>
    </w:p>
    <w:p w14:paraId="0FE9E437" w14:textId="398FD364" w:rsidR="00EF4FC6" w:rsidRPr="0007424C" w:rsidRDefault="00EF4FC6" w:rsidP="00EF4FC6">
      <w:pPr>
        <w:rPr>
          <w:rFonts w:ascii="Verdana" w:eastAsiaTheme="minorHAnsi" w:hAnsi="Verdana" w:cstheme="minorBidi"/>
          <w:color w:val="auto"/>
          <w:sz w:val="22"/>
          <w:szCs w:val="22"/>
        </w:rPr>
      </w:pPr>
      <w:r>
        <w:rPr>
          <w:rFonts w:ascii="Verdana" w:eastAsiaTheme="minorHAnsi" w:hAnsi="Verdana" w:cstheme="minorBidi"/>
          <w:color w:val="auto"/>
          <w:sz w:val="22"/>
          <w:szCs w:val="22"/>
        </w:rPr>
        <w:t xml:space="preserve">In 2018 we saw a shift in this type of incident from being triggered by phishing messages to being triggered by user error. During the first quarter, agencies were migrated to a new email system. As part of this migration, </w:t>
      </w:r>
      <w:r w:rsidRPr="0007424C">
        <w:rPr>
          <w:rFonts w:ascii="Verdana" w:eastAsiaTheme="minorHAnsi" w:hAnsi="Verdana" w:cstheme="minorBidi"/>
          <w:color w:val="auto"/>
          <w:sz w:val="22"/>
          <w:szCs w:val="22"/>
        </w:rPr>
        <w:t>VITA implemented both two-step and two-factor authentication for email</w:t>
      </w:r>
      <w:r w:rsidR="00F55CC9">
        <w:rPr>
          <w:rFonts w:ascii="Verdana" w:eastAsiaTheme="minorHAnsi" w:hAnsi="Verdana" w:cstheme="minorBidi"/>
          <w:color w:val="auto"/>
          <w:sz w:val="22"/>
          <w:szCs w:val="22"/>
        </w:rPr>
        <w:t xml:space="preserve"> access</w:t>
      </w:r>
      <w:r w:rsidRPr="0007424C">
        <w:rPr>
          <w:rFonts w:ascii="Verdana" w:eastAsiaTheme="minorHAnsi" w:hAnsi="Verdana" w:cstheme="minorBidi"/>
          <w:color w:val="auto"/>
          <w:sz w:val="22"/>
          <w:szCs w:val="22"/>
        </w:rPr>
        <w:t xml:space="preserve">. </w:t>
      </w:r>
      <w:r>
        <w:rPr>
          <w:rFonts w:ascii="Verdana" w:eastAsiaTheme="minorHAnsi" w:hAnsi="Verdana" w:cstheme="minorBidi"/>
          <w:color w:val="auto"/>
          <w:sz w:val="22"/>
          <w:szCs w:val="22"/>
        </w:rPr>
        <w:t xml:space="preserve">The new system with these additional controls reduced the number of phishing messages being delivered to mailboxes and protected email accounts from being used by attackers who have acquired credentials. However, the new email system presented challenges for employees. Data leakage incidents increased due to users </w:t>
      </w:r>
      <w:r w:rsidRPr="0007424C">
        <w:rPr>
          <w:rFonts w:ascii="Verdana" w:eastAsiaTheme="minorHAnsi" w:hAnsi="Verdana" w:cstheme="minorBidi"/>
          <w:color w:val="auto"/>
          <w:sz w:val="22"/>
          <w:szCs w:val="22"/>
        </w:rPr>
        <w:t xml:space="preserve">sending sensitive data to the wrong recipient and including sensitive data in emails without using encryption. </w:t>
      </w:r>
      <w:r>
        <w:rPr>
          <w:rFonts w:ascii="Verdana" w:eastAsiaTheme="minorHAnsi" w:hAnsi="Verdana" w:cstheme="minorBidi"/>
          <w:color w:val="auto"/>
          <w:sz w:val="22"/>
          <w:szCs w:val="22"/>
        </w:rPr>
        <w:t>Providing a</w:t>
      </w:r>
      <w:r w:rsidRPr="0007424C">
        <w:rPr>
          <w:rFonts w:ascii="Verdana" w:eastAsiaTheme="minorHAnsi" w:hAnsi="Verdana" w:cstheme="minorBidi"/>
          <w:color w:val="auto"/>
          <w:sz w:val="22"/>
          <w:szCs w:val="22"/>
        </w:rPr>
        <w:t xml:space="preserve">dditional security awareness training </w:t>
      </w:r>
      <w:r>
        <w:rPr>
          <w:rFonts w:ascii="Verdana" w:eastAsiaTheme="minorHAnsi" w:hAnsi="Verdana" w:cstheme="minorBidi"/>
          <w:color w:val="auto"/>
          <w:sz w:val="22"/>
          <w:szCs w:val="22"/>
        </w:rPr>
        <w:t>will help to protect both c</w:t>
      </w:r>
      <w:r w:rsidRPr="0007424C">
        <w:rPr>
          <w:rFonts w:ascii="Verdana" w:eastAsiaTheme="minorHAnsi" w:hAnsi="Verdana" w:cstheme="minorBidi"/>
          <w:color w:val="auto"/>
          <w:sz w:val="22"/>
          <w:szCs w:val="22"/>
        </w:rPr>
        <w:t xml:space="preserve">ommonwealth employees and data. Information disclosure </w:t>
      </w:r>
      <w:r>
        <w:rPr>
          <w:rFonts w:ascii="Verdana" w:eastAsiaTheme="minorHAnsi" w:hAnsi="Verdana" w:cstheme="minorBidi"/>
          <w:color w:val="auto"/>
          <w:sz w:val="22"/>
          <w:szCs w:val="22"/>
        </w:rPr>
        <w:t>incidents</w:t>
      </w:r>
      <w:r w:rsidRPr="0007424C">
        <w:rPr>
          <w:rFonts w:ascii="Verdana" w:eastAsiaTheme="minorHAnsi" w:hAnsi="Verdana" w:cstheme="minorBidi"/>
          <w:color w:val="auto"/>
          <w:sz w:val="22"/>
          <w:szCs w:val="22"/>
        </w:rPr>
        <w:t xml:space="preserve"> accounted for </w:t>
      </w:r>
      <w:r>
        <w:rPr>
          <w:rFonts w:ascii="Verdana" w:eastAsiaTheme="minorHAnsi" w:hAnsi="Verdana" w:cstheme="minorBidi"/>
          <w:color w:val="auto"/>
          <w:sz w:val="22"/>
          <w:szCs w:val="22"/>
        </w:rPr>
        <w:t>30%</w:t>
      </w:r>
      <w:r w:rsidRPr="0007424C">
        <w:rPr>
          <w:rFonts w:ascii="Verdana" w:eastAsiaTheme="minorHAnsi" w:hAnsi="Verdana" w:cstheme="minorBidi"/>
          <w:color w:val="auto"/>
          <w:sz w:val="22"/>
          <w:szCs w:val="22"/>
        </w:rPr>
        <w:t xml:space="preserve"> of all incidents experienced during 2018.</w:t>
      </w:r>
    </w:p>
    <w:p w14:paraId="1AE4CE4D" w14:textId="11D79F58" w:rsidR="00EF4FC6" w:rsidRPr="0007424C" w:rsidRDefault="008D31D8" w:rsidP="00EF4FC6">
      <w:pPr>
        <w:rPr>
          <w:rFonts w:ascii="Verdana" w:eastAsiaTheme="minorHAnsi" w:hAnsi="Verdana" w:cstheme="minorBidi"/>
          <w:color w:val="auto"/>
          <w:sz w:val="22"/>
          <w:szCs w:val="22"/>
        </w:rPr>
      </w:pPr>
      <w:r w:rsidRPr="0060166E">
        <w:rPr>
          <w:rFonts w:ascii="Verdana" w:eastAsiaTheme="minorHAnsi" w:hAnsi="Verdana" w:cstheme="minorBidi"/>
          <w:noProof/>
          <w:color w:val="auto"/>
          <w:sz w:val="22"/>
          <w:szCs w:val="22"/>
        </w:rPr>
        <w:drawing>
          <wp:inline distT="0" distB="0" distL="0" distR="0" wp14:anchorId="1808BCB3" wp14:editId="6635EE88">
            <wp:extent cx="6591300" cy="3057525"/>
            <wp:effectExtent l="0" t="0" r="0" b="0"/>
            <wp:docPr id="686" name="Chart 6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CEDBC3" w14:textId="77777777" w:rsidR="00EF4FC6" w:rsidRPr="0007424C" w:rsidRDefault="00EF4FC6" w:rsidP="00541000">
      <w:pPr>
        <w:jc w:val="center"/>
        <w:rPr>
          <w:rFonts w:ascii="Verdana" w:eastAsiaTheme="minorHAnsi" w:hAnsi="Verdana" w:cstheme="minorBidi"/>
          <w:color w:val="auto"/>
          <w:sz w:val="22"/>
          <w:szCs w:val="22"/>
        </w:rPr>
      </w:pPr>
    </w:p>
    <w:p w14:paraId="0DD18549" w14:textId="77777777" w:rsidR="00EF4FC6" w:rsidRDefault="00EF4FC6" w:rsidP="00EF4FC6">
      <w:pPr>
        <w:rPr>
          <w:rFonts w:ascii="Verdana" w:eastAsiaTheme="minorHAnsi" w:hAnsi="Verdana" w:cstheme="minorBidi"/>
          <w:b/>
          <w:color w:val="auto"/>
          <w:sz w:val="22"/>
          <w:szCs w:val="22"/>
        </w:rPr>
      </w:pPr>
      <w:r>
        <w:rPr>
          <w:rFonts w:ascii="Verdana" w:eastAsiaTheme="minorHAnsi" w:hAnsi="Verdana" w:cstheme="minorBidi"/>
          <w:b/>
          <w:color w:val="auto"/>
          <w:sz w:val="22"/>
          <w:szCs w:val="22"/>
        </w:rPr>
        <w:t>M</w:t>
      </w:r>
      <w:r w:rsidRPr="0007424C">
        <w:rPr>
          <w:rFonts w:ascii="Verdana" w:eastAsiaTheme="minorHAnsi" w:hAnsi="Verdana" w:cstheme="minorBidi"/>
          <w:b/>
          <w:color w:val="auto"/>
          <w:sz w:val="22"/>
          <w:szCs w:val="22"/>
        </w:rPr>
        <w:t>alware</w:t>
      </w:r>
      <w:r>
        <w:rPr>
          <w:rFonts w:ascii="Verdana" w:eastAsiaTheme="minorHAnsi" w:hAnsi="Verdana" w:cstheme="minorBidi"/>
          <w:b/>
          <w:color w:val="auto"/>
          <w:sz w:val="22"/>
          <w:szCs w:val="22"/>
        </w:rPr>
        <w:t xml:space="preserve">, also known as malicious software, continues to be </w:t>
      </w:r>
      <w:r w:rsidRPr="0007424C">
        <w:rPr>
          <w:rFonts w:ascii="Verdana" w:eastAsiaTheme="minorHAnsi" w:hAnsi="Verdana" w:cstheme="minorBidi"/>
          <w:b/>
          <w:color w:val="auto"/>
          <w:sz w:val="22"/>
          <w:szCs w:val="22"/>
        </w:rPr>
        <w:t>a serious threat to commonwealth systems.</w:t>
      </w:r>
    </w:p>
    <w:p w14:paraId="385D2FEE" w14:textId="008BDC6D" w:rsidR="00EF4FC6" w:rsidRPr="0007424C" w:rsidRDefault="00EF4FC6" w:rsidP="00EF4FC6">
      <w:pPr>
        <w:rPr>
          <w:rFonts w:ascii="Verdana" w:hAnsi="Verdana"/>
          <w:bCs/>
          <w:sz w:val="22"/>
          <w:szCs w:val="22"/>
        </w:rPr>
      </w:pPr>
      <w:r w:rsidRPr="0007424C">
        <w:rPr>
          <w:rFonts w:ascii="Verdana" w:eastAsiaTheme="minorHAnsi" w:hAnsi="Verdana" w:cstheme="minorBidi"/>
          <w:color w:val="auto"/>
          <w:sz w:val="22"/>
          <w:szCs w:val="22"/>
        </w:rPr>
        <w:t xml:space="preserve">As the third largest category of incidents, malware is a constant threat to commonwealth devices and data. </w:t>
      </w:r>
      <w:r w:rsidRPr="0007424C">
        <w:rPr>
          <w:rFonts w:ascii="Verdana" w:hAnsi="Verdana"/>
          <w:bCs/>
          <w:sz w:val="22"/>
          <w:szCs w:val="22"/>
        </w:rPr>
        <w:t xml:space="preserve">Malware programs are designed to infect legitimate users’ computers to damage systems or provide unauthorized access to sensitive data. </w:t>
      </w:r>
      <w:r>
        <w:rPr>
          <w:rFonts w:ascii="Verdana" w:hAnsi="Verdana"/>
          <w:bCs/>
          <w:sz w:val="22"/>
          <w:szCs w:val="22"/>
        </w:rPr>
        <w:t xml:space="preserve">Malware will normally exploit a known vulnerability to gain access to the system. Once an application has been declared to be end-of-life, the </w:t>
      </w:r>
      <w:r w:rsidR="00F55CC9">
        <w:rPr>
          <w:rFonts w:ascii="Verdana" w:hAnsi="Verdana"/>
          <w:bCs/>
          <w:sz w:val="22"/>
          <w:szCs w:val="22"/>
        </w:rPr>
        <w:t>manufacturer</w:t>
      </w:r>
      <w:r>
        <w:rPr>
          <w:rFonts w:ascii="Verdana" w:hAnsi="Verdana"/>
          <w:bCs/>
          <w:sz w:val="22"/>
          <w:szCs w:val="22"/>
        </w:rPr>
        <w:t xml:space="preserve"> no longer provides updates for known vulnerabilities. As a result, both unpatched and end-of-life software are vulnerable to attack. During 2018, 35% of high priority incidents were due to attackers exploiting these vulnerabilities. The attacks could have been thwarted by upgrading end-of-life software to supported versions and by applying patches to vulnerable systems, reaffirming the need to apply system patches in a timely manner.  </w:t>
      </w:r>
    </w:p>
    <w:p w14:paraId="6A049726" w14:textId="77777777" w:rsidR="00EF4FC6" w:rsidRPr="0007424C" w:rsidRDefault="00EF4FC6" w:rsidP="00EF4FC6">
      <w:pPr>
        <w:rPr>
          <w:rFonts w:ascii="Verdana" w:eastAsiaTheme="minorHAnsi" w:hAnsi="Verdana" w:cstheme="minorBidi"/>
          <w:color w:val="auto"/>
          <w:sz w:val="22"/>
          <w:szCs w:val="22"/>
        </w:rPr>
      </w:pPr>
    </w:p>
    <w:p w14:paraId="7E06100C" w14:textId="77777777" w:rsidR="007D5DB2" w:rsidRDefault="00EF4FC6" w:rsidP="00EF4FC6">
      <w:pPr>
        <w:rPr>
          <w:rFonts w:ascii="Verdana" w:eastAsiaTheme="minorHAnsi" w:hAnsi="Verdana" w:cstheme="minorBidi"/>
          <w:b/>
          <w:color w:val="auto"/>
          <w:sz w:val="22"/>
          <w:szCs w:val="22"/>
        </w:rPr>
      </w:pPr>
      <w:r w:rsidRPr="0007424C">
        <w:rPr>
          <w:rFonts w:ascii="Verdana" w:eastAsiaTheme="minorHAnsi" w:hAnsi="Verdana" w:cstheme="minorBidi"/>
          <w:b/>
          <w:color w:val="auto"/>
          <w:sz w:val="22"/>
          <w:szCs w:val="22"/>
        </w:rPr>
        <w:t xml:space="preserve">Security awareness training is </w:t>
      </w:r>
      <w:r>
        <w:rPr>
          <w:rFonts w:ascii="Verdana" w:eastAsiaTheme="minorHAnsi" w:hAnsi="Verdana" w:cstheme="minorBidi"/>
          <w:b/>
          <w:color w:val="auto"/>
          <w:sz w:val="22"/>
          <w:szCs w:val="22"/>
        </w:rPr>
        <w:t>critical</w:t>
      </w:r>
      <w:r w:rsidRPr="0007424C">
        <w:rPr>
          <w:rFonts w:ascii="Verdana" w:eastAsiaTheme="minorHAnsi" w:hAnsi="Verdana" w:cstheme="minorBidi"/>
          <w:b/>
          <w:color w:val="auto"/>
          <w:sz w:val="22"/>
          <w:szCs w:val="22"/>
        </w:rPr>
        <w:t xml:space="preserve"> to protecting COV employees, systems and data from cyberattacks.</w:t>
      </w:r>
      <w:r>
        <w:rPr>
          <w:rFonts w:ascii="Verdana" w:eastAsiaTheme="minorHAnsi" w:hAnsi="Verdana" w:cstheme="minorBidi"/>
          <w:b/>
          <w:color w:val="auto"/>
          <w:sz w:val="22"/>
          <w:szCs w:val="22"/>
        </w:rPr>
        <w:t xml:space="preserve">  </w:t>
      </w:r>
    </w:p>
    <w:p w14:paraId="4D2776E7" w14:textId="1093EDBC" w:rsidR="00EF4FC6" w:rsidRPr="0007424C" w:rsidRDefault="00EF4FC6" w:rsidP="00EF4FC6">
      <w:pPr>
        <w:rPr>
          <w:rFonts w:ascii="Verdana" w:hAnsi="Verdana"/>
          <w:bCs/>
          <w:sz w:val="22"/>
          <w:szCs w:val="22"/>
        </w:rPr>
      </w:pPr>
      <w:r w:rsidRPr="0007424C">
        <w:rPr>
          <w:rFonts w:ascii="Verdana" w:hAnsi="Verdana"/>
          <w:bCs/>
          <w:sz w:val="22"/>
          <w:szCs w:val="22"/>
        </w:rPr>
        <w:t>As the attack landscape is constantly changing, the primary point of defense remains the same – the employee. While technical controls can be put in place to protect the environment, the only effective approach is employee training. The COV IT Security Standard requires all employees to take security awareness training annually</w:t>
      </w:r>
      <w:r>
        <w:rPr>
          <w:rFonts w:ascii="Verdana" w:hAnsi="Verdana"/>
          <w:bCs/>
          <w:sz w:val="22"/>
          <w:szCs w:val="22"/>
        </w:rPr>
        <w:t>. Th</w:t>
      </w:r>
      <w:r w:rsidRPr="0007424C">
        <w:rPr>
          <w:rFonts w:ascii="Verdana" w:hAnsi="Verdana"/>
          <w:bCs/>
          <w:sz w:val="22"/>
          <w:szCs w:val="22"/>
        </w:rPr>
        <w:t xml:space="preserve">is allows a large amount of time between training for attackers to develop new techniques and employees to forget what they have learned. In order to supplement this yearly training, CSRM has developed a free service where agencies can request simulated phishing campaigns to reinforce the security awareness training and to allow users to practice their skills in a safe environment.  </w:t>
      </w:r>
    </w:p>
    <w:p w14:paraId="7E095D8C" w14:textId="77777777" w:rsidR="00EF4FC6" w:rsidRPr="0007424C" w:rsidRDefault="00EF4FC6" w:rsidP="00EF4FC6">
      <w:pPr>
        <w:rPr>
          <w:rFonts w:ascii="Verdana" w:hAnsi="Verdana"/>
          <w:bCs/>
          <w:sz w:val="22"/>
          <w:szCs w:val="22"/>
        </w:rPr>
      </w:pPr>
    </w:p>
    <w:p w14:paraId="4856B7B3" w14:textId="44AA09CF" w:rsidR="00EF4FC6" w:rsidRDefault="00EF4FC6" w:rsidP="00EF4FC6">
      <w:pPr>
        <w:rPr>
          <w:rFonts w:ascii="Verdana" w:hAnsi="Verdana"/>
          <w:bCs/>
          <w:sz w:val="22"/>
          <w:szCs w:val="22"/>
        </w:rPr>
      </w:pPr>
      <w:r w:rsidRPr="0007424C">
        <w:rPr>
          <w:rFonts w:ascii="Verdana" w:hAnsi="Verdana"/>
          <w:bCs/>
          <w:sz w:val="22"/>
          <w:szCs w:val="22"/>
        </w:rPr>
        <w:t xml:space="preserve">During 2018, CSRM modified their simulated phishing environment to work with </w:t>
      </w:r>
      <w:r w:rsidR="0039368E">
        <w:rPr>
          <w:rFonts w:ascii="Verdana" w:hAnsi="Verdana"/>
          <w:bCs/>
          <w:sz w:val="22"/>
          <w:szCs w:val="22"/>
        </w:rPr>
        <w:t>the enterprise email environment</w:t>
      </w:r>
      <w:r w:rsidRPr="0007424C">
        <w:rPr>
          <w:rFonts w:ascii="Verdana" w:hAnsi="Verdana"/>
          <w:bCs/>
          <w:sz w:val="22"/>
          <w:szCs w:val="22"/>
        </w:rPr>
        <w:t>. After the system was updated for the change, CSRM provide</w:t>
      </w:r>
      <w:r>
        <w:rPr>
          <w:rFonts w:ascii="Verdana" w:hAnsi="Verdana"/>
          <w:bCs/>
          <w:sz w:val="22"/>
          <w:szCs w:val="22"/>
        </w:rPr>
        <w:t>d</w:t>
      </w:r>
      <w:r w:rsidRPr="0007424C">
        <w:rPr>
          <w:rFonts w:ascii="Verdana" w:hAnsi="Verdana"/>
          <w:bCs/>
          <w:sz w:val="22"/>
          <w:szCs w:val="22"/>
        </w:rPr>
        <w:t xml:space="preserve"> simulated phishing campaigns to agencies.</w:t>
      </w:r>
      <w:r>
        <w:rPr>
          <w:rFonts w:ascii="Verdana" w:hAnsi="Verdana"/>
          <w:bCs/>
          <w:sz w:val="22"/>
          <w:szCs w:val="22"/>
        </w:rPr>
        <w:t xml:space="preserve"> </w:t>
      </w:r>
      <w:r w:rsidRPr="0007424C">
        <w:rPr>
          <w:rFonts w:ascii="Verdana" w:hAnsi="Verdana"/>
          <w:bCs/>
          <w:sz w:val="22"/>
          <w:szCs w:val="22"/>
        </w:rPr>
        <w:t>The campaign</w:t>
      </w:r>
      <w:r>
        <w:rPr>
          <w:rFonts w:ascii="Verdana" w:hAnsi="Verdana"/>
          <w:bCs/>
          <w:sz w:val="22"/>
          <w:szCs w:val="22"/>
        </w:rPr>
        <w:t xml:space="preserve">s </w:t>
      </w:r>
      <w:r w:rsidRPr="0007424C">
        <w:rPr>
          <w:rFonts w:ascii="Verdana" w:hAnsi="Verdana"/>
          <w:bCs/>
          <w:sz w:val="22"/>
          <w:szCs w:val="22"/>
        </w:rPr>
        <w:t>targeted 529 COV employees</w:t>
      </w:r>
      <w:r w:rsidR="00F55CC9">
        <w:rPr>
          <w:rFonts w:ascii="Verdana" w:hAnsi="Verdana"/>
          <w:bCs/>
          <w:sz w:val="22"/>
          <w:szCs w:val="22"/>
        </w:rPr>
        <w:t>,</w:t>
      </w:r>
      <w:r w:rsidRPr="0007424C">
        <w:rPr>
          <w:rFonts w:ascii="Verdana" w:hAnsi="Verdana"/>
          <w:bCs/>
          <w:sz w:val="22"/>
          <w:szCs w:val="22"/>
        </w:rPr>
        <w:t xml:space="preserve"> of wh</w:t>
      </w:r>
      <w:r w:rsidR="00637027">
        <w:rPr>
          <w:rFonts w:ascii="Verdana" w:hAnsi="Verdana"/>
          <w:bCs/>
          <w:sz w:val="22"/>
          <w:szCs w:val="22"/>
        </w:rPr>
        <w:t>om</w:t>
      </w:r>
      <w:r w:rsidRPr="0007424C">
        <w:rPr>
          <w:rFonts w:ascii="Verdana" w:hAnsi="Verdana"/>
          <w:bCs/>
          <w:sz w:val="22"/>
          <w:szCs w:val="22"/>
        </w:rPr>
        <w:t xml:space="preserve"> 384 opened the phishing message, 41 clicked on the link and 10 employees submitted their credentials. The chart below shows a comparison of the results from 2017 to 2018.</w:t>
      </w:r>
    </w:p>
    <w:p w14:paraId="41D220D3" w14:textId="77777777" w:rsidR="00EF4FC6" w:rsidRDefault="00EF4FC6" w:rsidP="00EF4FC6">
      <w:pPr>
        <w:rPr>
          <w:rFonts w:ascii="Verdana" w:hAnsi="Verdana"/>
          <w:bCs/>
          <w:sz w:val="22"/>
          <w:szCs w:val="22"/>
        </w:rPr>
      </w:pPr>
    </w:p>
    <w:p w14:paraId="35420D7A" w14:textId="77777777" w:rsidR="00EF4FC6" w:rsidRPr="0007424C" w:rsidRDefault="00EF4FC6" w:rsidP="00B35434">
      <w:pPr>
        <w:jc w:val="center"/>
        <w:rPr>
          <w:rFonts w:ascii="Verdana" w:hAnsi="Verdana"/>
          <w:bCs/>
          <w:sz w:val="22"/>
          <w:szCs w:val="22"/>
        </w:rPr>
      </w:pPr>
      <w:r>
        <w:rPr>
          <w:noProof/>
        </w:rPr>
        <w:drawing>
          <wp:inline distT="0" distB="0" distL="0" distR="0" wp14:anchorId="300B36E9" wp14:editId="06366705">
            <wp:extent cx="6162675" cy="34671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61FFE0" w14:textId="53C56B0A" w:rsidR="00EF4FC6" w:rsidRPr="0007424C" w:rsidRDefault="00EF4FC6" w:rsidP="00EF4FC6">
      <w:pPr>
        <w:rPr>
          <w:rFonts w:ascii="Verdana" w:hAnsi="Verdana"/>
          <w:bCs/>
          <w:sz w:val="22"/>
          <w:szCs w:val="22"/>
        </w:rPr>
      </w:pPr>
      <w:r w:rsidRPr="0007424C">
        <w:rPr>
          <w:rFonts w:ascii="Verdana" w:hAnsi="Verdana"/>
          <w:bCs/>
          <w:sz w:val="22"/>
          <w:szCs w:val="22"/>
        </w:rPr>
        <w:t>While the sample size is small</w:t>
      </w:r>
      <w:r>
        <w:rPr>
          <w:rFonts w:ascii="Verdana" w:hAnsi="Verdana"/>
          <w:bCs/>
          <w:sz w:val="22"/>
          <w:szCs w:val="22"/>
        </w:rPr>
        <w:t>er than in previous years</w:t>
      </w:r>
      <w:r w:rsidRPr="0007424C">
        <w:rPr>
          <w:rFonts w:ascii="Verdana" w:hAnsi="Verdana"/>
          <w:bCs/>
          <w:sz w:val="22"/>
          <w:szCs w:val="22"/>
        </w:rPr>
        <w:t xml:space="preserve">, it validates the continued need for phishing training to be included in agency security awareness programs. The </w:t>
      </w:r>
      <w:r w:rsidR="00F55CC9">
        <w:rPr>
          <w:rFonts w:ascii="Verdana" w:hAnsi="Verdana"/>
          <w:bCs/>
          <w:sz w:val="22"/>
          <w:szCs w:val="22"/>
        </w:rPr>
        <w:t>CSIRT</w:t>
      </w:r>
      <w:r w:rsidRPr="0007424C">
        <w:rPr>
          <w:rFonts w:ascii="Verdana" w:hAnsi="Verdana"/>
          <w:bCs/>
          <w:sz w:val="22"/>
          <w:szCs w:val="22"/>
        </w:rPr>
        <w:t xml:space="preserve"> intends to </w:t>
      </w:r>
      <w:r>
        <w:rPr>
          <w:rFonts w:ascii="Verdana" w:hAnsi="Verdana"/>
          <w:bCs/>
          <w:sz w:val="22"/>
          <w:szCs w:val="22"/>
        </w:rPr>
        <w:t>increase the number of</w:t>
      </w:r>
      <w:r w:rsidRPr="0007424C">
        <w:rPr>
          <w:rFonts w:ascii="Verdana" w:hAnsi="Verdana"/>
          <w:bCs/>
          <w:sz w:val="22"/>
          <w:szCs w:val="22"/>
        </w:rPr>
        <w:t xml:space="preserve"> simulated phishing campaigns </w:t>
      </w:r>
      <w:r>
        <w:rPr>
          <w:rFonts w:ascii="Verdana" w:hAnsi="Verdana"/>
          <w:bCs/>
          <w:sz w:val="22"/>
          <w:szCs w:val="22"/>
        </w:rPr>
        <w:t xml:space="preserve">provided </w:t>
      </w:r>
      <w:r w:rsidRPr="0007424C">
        <w:rPr>
          <w:rFonts w:ascii="Verdana" w:hAnsi="Verdana"/>
          <w:bCs/>
          <w:sz w:val="22"/>
          <w:szCs w:val="22"/>
        </w:rPr>
        <w:t xml:space="preserve">to agencies </w:t>
      </w:r>
      <w:r>
        <w:rPr>
          <w:rFonts w:ascii="Verdana" w:hAnsi="Verdana"/>
          <w:bCs/>
          <w:sz w:val="22"/>
          <w:szCs w:val="22"/>
        </w:rPr>
        <w:t>next year</w:t>
      </w:r>
      <w:r w:rsidRPr="0007424C">
        <w:rPr>
          <w:rFonts w:ascii="Verdana" w:hAnsi="Verdana"/>
          <w:bCs/>
          <w:sz w:val="22"/>
          <w:szCs w:val="22"/>
        </w:rPr>
        <w:t>.</w:t>
      </w:r>
    </w:p>
    <w:p w14:paraId="36A21841" w14:textId="77777777" w:rsidR="00EF4FC6" w:rsidRPr="0007424C" w:rsidRDefault="00EF4FC6" w:rsidP="00EF4FC6">
      <w:pPr>
        <w:rPr>
          <w:rFonts w:ascii="Verdana" w:hAnsi="Verdana"/>
          <w:bCs/>
          <w:sz w:val="22"/>
          <w:szCs w:val="22"/>
        </w:rPr>
      </w:pPr>
    </w:p>
    <w:p w14:paraId="03895454" w14:textId="57A84595" w:rsidR="00EF4FC6" w:rsidRPr="0007424C" w:rsidRDefault="00EF4FC6" w:rsidP="00EF4FC6">
      <w:pPr>
        <w:rPr>
          <w:rFonts w:ascii="Verdana" w:eastAsiaTheme="minorHAnsi" w:hAnsi="Verdana"/>
          <w:sz w:val="22"/>
          <w:szCs w:val="22"/>
        </w:rPr>
      </w:pPr>
      <w:r w:rsidRPr="0007424C">
        <w:rPr>
          <w:rFonts w:ascii="Verdana" w:eastAsiaTheme="minorHAnsi" w:hAnsi="Verdana"/>
          <w:b/>
          <w:sz w:val="22"/>
          <w:szCs w:val="22"/>
        </w:rPr>
        <w:t>Cybersecurity incident trends continue to be monitored.</w:t>
      </w:r>
      <w:r>
        <w:rPr>
          <w:rFonts w:ascii="Verdana" w:eastAsiaTheme="minorHAnsi" w:hAnsi="Verdana"/>
          <w:b/>
          <w:sz w:val="22"/>
          <w:szCs w:val="22"/>
        </w:rPr>
        <w:t xml:space="preserve"> </w:t>
      </w:r>
      <w:r w:rsidRPr="0007424C">
        <w:rPr>
          <w:rFonts w:ascii="Verdana" w:eastAsiaTheme="minorHAnsi" w:hAnsi="Verdana"/>
          <w:sz w:val="22"/>
          <w:szCs w:val="22"/>
        </w:rPr>
        <w:t xml:space="preserve">CSRM has been working diligently to protect commonwealth systems from cyber threats. As best practices are implemented and additional layers of protection are added, attackers develop new tactics to compromise systems. CSRM is continually investigating new security controls to protect the environment from compromise. </w:t>
      </w:r>
    </w:p>
    <w:p w14:paraId="4674BE68" w14:textId="77777777" w:rsidR="00EF4FC6" w:rsidRPr="0007424C" w:rsidRDefault="00EF4FC6" w:rsidP="00EF4FC6">
      <w:pPr>
        <w:rPr>
          <w:rFonts w:ascii="Verdana" w:eastAsiaTheme="minorHAnsi" w:hAnsi="Verdana"/>
          <w:sz w:val="22"/>
          <w:szCs w:val="22"/>
        </w:rPr>
      </w:pPr>
    </w:p>
    <w:p w14:paraId="07B975D9" w14:textId="26B6D5A7" w:rsidR="00EF4FC6" w:rsidRPr="0007424C" w:rsidRDefault="00EF4FC6" w:rsidP="00EF4FC6">
      <w:pPr>
        <w:rPr>
          <w:rFonts w:ascii="Verdana" w:eastAsiaTheme="minorHAnsi" w:hAnsi="Verdana" w:cstheme="minorBidi"/>
          <w:b/>
          <w:color w:val="auto"/>
          <w:sz w:val="22"/>
          <w:szCs w:val="22"/>
          <w:highlight w:val="yellow"/>
        </w:rPr>
      </w:pPr>
      <w:r>
        <w:rPr>
          <w:rFonts w:ascii="Verdana" w:eastAsiaTheme="minorHAnsi" w:hAnsi="Verdana"/>
          <w:sz w:val="22"/>
          <w:szCs w:val="22"/>
        </w:rPr>
        <w:t xml:space="preserve">Despite these efforts, the </w:t>
      </w:r>
      <w:r w:rsidR="00637027">
        <w:rPr>
          <w:rFonts w:ascii="Verdana" w:eastAsiaTheme="minorHAnsi" w:hAnsi="Verdana"/>
          <w:sz w:val="22"/>
          <w:szCs w:val="22"/>
        </w:rPr>
        <w:t>c</w:t>
      </w:r>
      <w:r>
        <w:rPr>
          <w:rFonts w:ascii="Verdana" w:eastAsiaTheme="minorHAnsi" w:hAnsi="Verdana"/>
          <w:sz w:val="22"/>
          <w:szCs w:val="22"/>
        </w:rPr>
        <w:t xml:space="preserve">ommonwealth experienced a spike in incidents during the last quarter of 2018. At the beginning of November, Adobe released a critical patch for Cold Fusion. Within two weeks of the patch being release, all COV Cold Fusion servers were attacked. While some agencies had applied the patch, others were still in the process of testing and deploying the patches. As a result of this missing patch, five servers were compromised. These attacks </w:t>
      </w:r>
      <w:r w:rsidR="00637027">
        <w:rPr>
          <w:rFonts w:ascii="Verdana" w:eastAsiaTheme="minorHAnsi" w:hAnsi="Verdana"/>
          <w:sz w:val="22"/>
          <w:szCs w:val="22"/>
        </w:rPr>
        <w:t>demonstrate</w:t>
      </w:r>
      <w:r w:rsidRPr="0007424C">
        <w:rPr>
          <w:rFonts w:ascii="Verdana" w:eastAsiaTheme="minorHAnsi" w:hAnsi="Verdana"/>
          <w:sz w:val="22"/>
          <w:szCs w:val="22"/>
        </w:rPr>
        <w:t xml:space="preserve"> the need to patch systems as soon as possible</w:t>
      </w:r>
      <w:r>
        <w:rPr>
          <w:rFonts w:ascii="Verdana" w:eastAsiaTheme="minorHAnsi" w:hAnsi="Verdana"/>
          <w:sz w:val="22"/>
          <w:szCs w:val="22"/>
        </w:rPr>
        <w:t xml:space="preserve"> </w:t>
      </w:r>
      <w:r w:rsidRPr="0007424C">
        <w:rPr>
          <w:rFonts w:ascii="Verdana" w:eastAsiaTheme="minorHAnsi" w:hAnsi="Verdana"/>
          <w:sz w:val="22"/>
          <w:szCs w:val="22"/>
        </w:rPr>
        <w:t>after appropriate testing</w:t>
      </w:r>
      <w:r>
        <w:rPr>
          <w:rFonts w:ascii="Verdana" w:eastAsiaTheme="minorHAnsi" w:hAnsi="Verdana"/>
          <w:sz w:val="22"/>
          <w:szCs w:val="22"/>
        </w:rPr>
        <w:t xml:space="preserve"> has been completed.</w:t>
      </w:r>
    </w:p>
    <w:p w14:paraId="70EAC60B" w14:textId="5D9C52AA" w:rsidR="00EF4FC6" w:rsidRPr="0007424C" w:rsidRDefault="00B35434" w:rsidP="00EF4FC6">
      <w:pPr>
        <w:rPr>
          <w:rFonts w:ascii="Verdana" w:eastAsiaTheme="minorHAnsi" w:hAnsi="Verdana" w:cstheme="minorBidi"/>
          <w:b/>
          <w:color w:val="auto"/>
          <w:sz w:val="22"/>
          <w:szCs w:val="22"/>
        </w:rPr>
      </w:pPr>
      <w:r w:rsidRPr="0007424C">
        <w:rPr>
          <w:rFonts w:ascii="Verdana" w:eastAsiaTheme="minorHAnsi" w:hAnsi="Verdana" w:cstheme="minorBidi"/>
          <w:b/>
          <w:noProof/>
          <w:color w:val="auto"/>
          <w:sz w:val="22"/>
          <w:szCs w:val="22"/>
          <w:highlight w:val="yellow"/>
        </w:rPr>
        <w:drawing>
          <wp:anchor distT="0" distB="0" distL="114300" distR="114300" simplePos="0" relativeHeight="251657216" behindDoc="0" locked="0" layoutInCell="1" allowOverlap="1" wp14:anchorId="5C06632D" wp14:editId="38288E42">
            <wp:simplePos x="0" y="0"/>
            <wp:positionH relativeFrom="column">
              <wp:posOffset>285750</wp:posOffset>
            </wp:positionH>
            <wp:positionV relativeFrom="paragraph">
              <wp:posOffset>112395</wp:posOffset>
            </wp:positionV>
            <wp:extent cx="6038850" cy="2181225"/>
            <wp:effectExtent l="0" t="0" r="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79BC8762" w14:textId="3F05D3D4" w:rsidR="00EF4FC6" w:rsidRPr="0007424C" w:rsidRDefault="00EF4FC6" w:rsidP="00EF4FC6">
      <w:pPr>
        <w:spacing w:after="200"/>
        <w:rPr>
          <w:rFonts w:ascii="Verdana" w:eastAsiaTheme="minorHAnsi" w:hAnsi="Verdana" w:cstheme="minorBidi"/>
          <w:b/>
          <w:color w:val="auto"/>
          <w:sz w:val="22"/>
          <w:szCs w:val="22"/>
        </w:rPr>
      </w:pPr>
    </w:p>
    <w:p w14:paraId="50A2B050" w14:textId="77777777" w:rsidR="00EF4FC6" w:rsidRPr="0007424C" w:rsidRDefault="00EF4FC6" w:rsidP="00EF4FC6">
      <w:pPr>
        <w:spacing w:after="200"/>
        <w:rPr>
          <w:rFonts w:ascii="Verdana" w:eastAsiaTheme="minorHAnsi" w:hAnsi="Verdana" w:cstheme="minorBidi"/>
          <w:b/>
          <w:color w:val="auto"/>
          <w:sz w:val="22"/>
          <w:szCs w:val="22"/>
        </w:rPr>
      </w:pPr>
    </w:p>
    <w:p w14:paraId="0C52D4B1" w14:textId="77777777" w:rsidR="00EF4FC6" w:rsidRPr="0007424C" w:rsidRDefault="00EF4FC6" w:rsidP="00EF4FC6">
      <w:pPr>
        <w:spacing w:after="200"/>
        <w:rPr>
          <w:rFonts w:ascii="Verdana" w:eastAsiaTheme="minorHAnsi" w:hAnsi="Verdana" w:cstheme="minorBidi"/>
          <w:b/>
          <w:color w:val="auto"/>
          <w:sz w:val="22"/>
          <w:szCs w:val="22"/>
        </w:rPr>
      </w:pPr>
    </w:p>
    <w:p w14:paraId="60B645CB" w14:textId="77777777" w:rsidR="00EF4FC6" w:rsidRPr="0007424C" w:rsidRDefault="00EF4FC6" w:rsidP="00EF4FC6">
      <w:pPr>
        <w:spacing w:after="200"/>
        <w:rPr>
          <w:rFonts w:ascii="Verdana" w:eastAsiaTheme="minorHAnsi" w:hAnsi="Verdana" w:cstheme="minorBidi"/>
          <w:b/>
          <w:color w:val="auto"/>
          <w:sz w:val="22"/>
          <w:szCs w:val="22"/>
        </w:rPr>
      </w:pPr>
    </w:p>
    <w:p w14:paraId="4BA05F20" w14:textId="77777777" w:rsidR="00EF4FC6" w:rsidRPr="0007424C" w:rsidRDefault="00EF4FC6" w:rsidP="00EF4FC6">
      <w:pPr>
        <w:spacing w:after="200"/>
        <w:rPr>
          <w:rFonts w:ascii="Verdana" w:eastAsiaTheme="minorHAnsi" w:hAnsi="Verdana" w:cstheme="minorBidi"/>
          <w:b/>
          <w:color w:val="auto"/>
          <w:sz w:val="22"/>
          <w:szCs w:val="22"/>
        </w:rPr>
      </w:pPr>
    </w:p>
    <w:p w14:paraId="626E3B6B" w14:textId="77777777" w:rsidR="00EF4FC6" w:rsidRPr="0007424C" w:rsidRDefault="00EF4FC6" w:rsidP="00EF4FC6">
      <w:pPr>
        <w:spacing w:after="200"/>
        <w:rPr>
          <w:rFonts w:ascii="Verdana" w:eastAsiaTheme="minorHAnsi" w:hAnsi="Verdana" w:cstheme="minorBidi"/>
          <w:b/>
          <w:color w:val="auto"/>
          <w:sz w:val="22"/>
          <w:szCs w:val="22"/>
        </w:rPr>
      </w:pPr>
    </w:p>
    <w:p w14:paraId="39EA6E2F" w14:textId="77777777" w:rsidR="00EF4FC6" w:rsidRPr="0007424C" w:rsidRDefault="00EF4FC6" w:rsidP="00EF4FC6">
      <w:pPr>
        <w:spacing w:after="200"/>
        <w:rPr>
          <w:rFonts w:ascii="Verdana" w:eastAsiaTheme="minorHAnsi" w:hAnsi="Verdana" w:cstheme="minorBidi"/>
          <w:b/>
          <w:color w:val="auto"/>
          <w:sz w:val="22"/>
          <w:szCs w:val="22"/>
        </w:rPr>
      </w:pPr>
    </w:p>
    <w:p w14:paraId="7191D3A4" w14:textId="77777777" w:rsidR="00EF4FC6" w:rsidRDefault="00EF4FC6" w:rsidP="00EF4FC6">
      <w:pPr>
        <w:spacing w:after="200"/>
        <w:rPr>
          <w:rFonts w:ascii="Verdana" w:eastAsiaTheme="minorHAnsi" w:hAnsi="Verdana" w:cstheme="minorBidi"/>
          <w:b/>
          <w:color w:val="auto"/>
          <w:sz w:val="22"/>
          <w:szCs w:val="22"/>
        </w:rPr>
      </w:pPr>
    </w:p>
    <w:p w14:paraId="0271413A" w14:textId="5CD12145" w:rsidR="00EF4FC6" w:rsidRPr="0007424C" w:rsidRDefault="00EF4FC6" w:rsidP="00EF4FC6">
      <w:pPr>
        <w:spacing w:after="200"/>
        <w:rPr>
          <w:rFonts w:ascii="Verdana" w:eastAsiaTheme="minorHAnsi" w:hAnsi="Verdana" w:cstheme="minorBidi"/>
          <w:color w:val="auto"/>
          <w:sz w:val="22"/>
          <w:szCs w:val="22"/>
        </w:rPr>
      </w:pPr>
      <w:r w:rsidRPr="0007424C">
        <w:rPr>
          <w:rFonts w:ascii="Verdana" w:eastAsiaTheme="minorHAnsi" w:hAnsi="Verdana" w:cstheme="minorBidi"/>
          <w:b/>
          <w:color w:val="auto"/>
          <w:sz w:val="22"/>
          <w:szCs w:val="22"/>
        </w:rPr>
        <w:t>The origins of the attacks on the commonwealth’s network are monitored and tracked.</w:t>
      </w:r>
      <w:r w:rsidRPr="0007424C">
        <w:rPr>
          <w:rFonts w:ascii="Verdana" w:eastAsiaTheme="minorHAnsi" w:hAnsi="Verdana" w:cstheme="minorBidi"/>
          <w:color w:val="auto"/>
          <w:sz w:val="22"/>
          <w:szCs w:val="22"/>
        </w:rPr>
        <w:t xml:space="preserve"> </w:t>
      </w:r>
      <w:r w:rsidRPr="0007424C">
        <w:rPr>
          <w:rFonts w:ascii="Verdana" w:hAnsi="Verdana"/>
          <w:sz w:val="22"/>
          <w:szCs w:val="22"/>
          <w:shd w:val="clear" w:color="auto" w:fill="FFFFFF"/>
        </w:rPr>
        <w:t xml:space="preserve">CSRM receives threat intelligence information from multiple sources. This information is incorporated into the security monitoring systems that protect the commonwealth’s data from attack. In correlating this information with our intelligences partners we are able to proactively block origins of attack before systems are compromised. During the past year, this information indicated that the top five countries where attacks against the commonwealth originated were the United States, Brazil, China, Egypt and Germany. </w:t>
      </w:r>
      <w:r>
        <w:rPr>
          <w:rFonts w:ascii="Verdana" w:hAnsi="Verdana"/>
          <w:sz w:val="22"/>
          <w:szCs w:val="22"/>
          <w:shd w:val="clear" w:color="auto" w:fill="FFFFFF"/>
        </w:rPr>
        <w:t xml:space="preserve">According to the Worldwide Threat Assessment report, Russia has the ability to conduct cyberattacks from within the United States.   Iranian threat actors are targeting government officials and organizations to position themselves for future cyber operations. As the source of an attack is identified by geo-location, it makes the United States appear to be the number one source of attack. As long as </w:t>
      </w:r>
      <w:r w:rsidRPr="0007424C">
        <w:rPr>
          <w:rFonts w:ascii="Verdana" w:hAnsi="Verdana"/>
          <w:sz w:val="22"/>
          <w:szCs w:val="22"/>
          <w:shd w:val="clear" w:color="auto" w:fill="FFFFFF"/>
        </w:rPr>
        <w:t xml:space="preserve">the data housed in the commonwealth’s IT assets </w:t>
      </w:r>
      <w:r>
        <w:rPr>
          <w:rFonts w:ascii="Verdana" w:hAnsi="Verdana"/>
          <w:sz w:val="22"/>
          <w:szCs w:val="22"/>
          <w:shd w:val="clear" w:color="auto" w:fill="FFFFFF"/>
        </w:rPr>
        <w:t xml:space="preserve">continues </w:t>
      </w:r>
      <w:r w:rsidRPr="0007424C">
        <w:rPr>
          <w:rFonts w:ascii="Verdana" w:hAnsi="Verdana"/>
          <w:sz w:val="22"/>
          <w:szCs w:val="22"/>
          <w:shd w:val="clear" w:color="auto" w:fill="FFFFFF"/>
        </w:rPr>
        <w:t>to be a valuable resource in the global marketplace</w:t>
      </w:r>
      <w:r>
        <w:rPr>
          <w:rFonts w:ascii="Verdana" w:hAnsi="Verdana"/>
          <w:sz w:val="22"/>
          <w:szCs w:val="22"/>
          <w:shd w:val="clear" w:color="auto" w:fill="FFFFFF"/>
        </w:rPr>
        <w:t>, we expect to see these threat actors look for new and innovate ways to gain access to COV systems and data</w:t>
      </w:r>
      <w:r w:rsidRPr="0007424C">
        <w:rPr>
          <w:rFonts w:ascii="Verdana" w:hAnsi="Verdana"/>
          <w:sz w:val="22"/>
          <w:szCs w:val="22"/>
          <w:shd w:val="clear" w:color="auto" w:fill="FFFFFF"/>
        </w:rPr>
        <w:t xml:space="preserve">. </w:t>
      </w:r>
      <w:r w:rsidRPr="0007424C">
        <w:rPr>
          <w:rFonts w:ascii="Verdana" w:eastAsiaTheme="minorHAnsi" w:hAnsi="Verdana" w:cstheme="minorBidi"/>
          <w:color w:val="auto"/>
          <w:sz w:val="22"/>
          <w:szCs w:val="22"/>
        </w:rPr>
        <w:t>CSRM will continue to monitor the origins of these attacks and respond promptly to attacks on our networks, regardless of their origin.</w:t>
      </w:r>
    </w:p>
    <w:p w14:paraId="4DE01148" w14:textId="77777777" w:rsidR="00EF4FC6" w:rsidRPr="0007424C" w:rsidRDefault="00EF4FC6" w:rsidP="00B35434">
      <w:pPr>
        <w:spacing w:after="200"/>
        <w:jc w:val="center"/>
        <w:rPr>
          <w:rFonts w:ascii="Verdana" w:eastAsiaTheme="minorHAnsi" w:hAnsi="Verdana" w:cstheme="minorBidi"/>
          <w:b/>
          <w:color w:val="auto"/>
          <w:sz w:val="22"/>
          <w:szCs w:val="22"/>
        </w:rPr>
      </w:pPr>
      <w:r w:rsidRPr="0007424C">
        <w:rPr>
          <w:rFonts w:ascii="Verdana" w:eastAsiaTheme="minorHAnsi" w:hAnsi="Verdana" w:cstheme="minorBidi"/>
          <w:b/>
          <w:noProof/>
          <w:color w:val="auto"/>
          <w:sz w:val="22"/>
          <w:szCs w:val="22"/>
        </w:rPr>
        <w:drawing>
          <wp:inline distT="0" distB="0" distL="0" distR="0" wp14:anchorId="2F08142C" wp14:editId="744CBD52">
            <wp:extent cx="6362700" cy="3098836"/>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385693" cy="3110034"/>
                    </a:xfrm>
                    <a:prstGeom prst="rect">
                      <a:avLst/>
                    </a:prstGeom>
                    <a:noFill/>
                  </pic:spPr>
                </pic:pic>
              </a:graphicData>
            </a:graphic>
          </wp:inline>
        </w:drawing>
      </w:r>
    </w:p>
    <w:p w14:paraId="2803CE60" w14:textId="77777777" w:rsidR="00EF4FC6" w:rsidRDefault="00EF4FC6" w:rsidP="00EF4FC6">
      <w:pPr>
        <w:rPr>
          <w:rFonts w:ascii="Verdana" w:eastAsiaTheme="minorHAnsi" w:hAnsi="Verdana" w:cstheme="minorBidi"/>
          <w:b/>
          <w:color w:val="auto"/>
          <w:sz w:val="22"/>
          <w:szCs w:val="22"/>
        </w:rPr>
      </w:pPr>
    </w:p>
    <w:p w14:paraId="351113D7" w14:textId="77777777" w:rsidR="00EF4FC6" w:rsidRPr="0007424C" w:rsidRDefault="00EF4FC6" w:rsidP="00EF4FC6">
      <w:pPr>
        <w:rPr>
          <w:rFonts w:ascii="Verdana" w:eastAsiaTheme="minorHAnsi" w:hAnsi="Verdana" w:cstheme="minorBidi"/>
          <w:b/>
          <w:color w:val="auto"/>
          <w:sz w:val="22"/>
          <w:szCs w:val="22"/>
        </w:rPr>
      </w:pPr>
      <w:r w:rsidRPr="0007424C">
        <w:rPr>
          <w:rFonts w:ascii="Verdana" w:eastAsiaTheme="minorHAnsi" w:hAnsi="Verdana" w:cstheme="minorBidi"/>
          <w:b/>
          <w:color w:val="auto"/>
          <w:sz w:val="22"/>
          <w:szCs w:val="22"/>
        </w:rPr>
        <w:t>Attack attempts</w:t>
      </w:r>
    </w:p>
    <w:p w14:paraId="6B32E636" w14:textId="190F9E3C" w:rsidR="00EF4FC6" w:rsidRPr="0007424C" w:rsidRDefault="00EF4FC6" w:rsidP="00EF4FC6">
      <w:pPr>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 xml:space="preserve">During 2018, over 33 million attack attempts were detected against commonwealth systems. This is a rate of one attack every 1.07 seconds. </w:t>
      </w:r>
      <w:r>
        <w:rPr>
          <w:rFonts w:ascii="Verdana" w:eastAsiaTheme="minorHAnsi" w:hAnsi="Verdana" w:cstheme="minorBidi"/>
          <w:color w:val="auto"/>
          <w:sz w:val="22"/>
          <w:szCs w:val="22"/>
        </w:rPr>
        <w:t xml:space="preserve">The spikes in attack attempts are indicative of new types of attack traffic being observed. When an alert is triggered, the traffic is examined to determine whether it is malicious or authorized. Systems are adjusted to prevent the malicious attack attempts from penetrating the COV network. Alerts for known authorized traffic are tuned out to reduce false positives. </w:t>
      </w:r>
      <w:r w:rsidRPr="0007424C">
        <w:rPr>
          <w:rFonts w:ascii="Verdana" w:eastAsiaTheme="minorHAnsi" w:hAnsi="Verdana" w:cstheme="minorBidi"/>
          <w:color w:val="auto"/>
          <w:sz w:val="22"/>
          <w:szCs w:val="22"/>
        </w:rPr>
        <w:t xml:space="preserve">The drop </w:t>
      </w:r>
      <w:r>
        <w:rPr>
          <w:rFonts w:ascii="Verdana" w:eastAsiaTheme="minorHAnsi" w:hAnsi="Verdana" w:cstheme="minorBidi"/>
          <w:color w:val="auto"/>
          <w:sz w:val="22"/>
          <w:szCs w:val="22"/>
        </w:rPr>
        <w:t xml:space="preserve">in attack attempts </w:t>
      </w:r>
      <w:r w:rsidRPr="0007424C">
        <w:rPr>
          <w:rFonts w:ascii="Verdana" w:eastAsiaTheme="minorHAnsi" w:hAnsi="Verdana" w:cstheme="minorBidi"/>
          <w:color w:val="auto"/>
          <w:sz w:val="22"/>
          <w:szCs w:val="22"/>
        </w:rPr>
        <w:t xml:space="preserve">following </w:t>
      </w:r>
      <w:r>
        <w:rPr>
          <w:rFonts w:ascii="Verdana" w:eastAsiaTheme="minorHAnsi" w:hAnsi="Verdana" w:cstheme="minorBidi"/>
          <w:color w:val="auto"/>
          <w:sz w:val="22"/>
          <w:szCs w:val="22"/>
        </w:rPr>
        <w:t xml:space="preserve">a </w:t>
      </w:r>
      <w:r w:rsidRPr="0007424C">
        <w:rPr>
          <w:rFonts w:ascii="Verdana" w:eastAsiaTheme="minorHAnsi" w:hAnsi="Verdana" w:cstheme="minorBidi"/>
          <w:color w:val="auto"/>
          <w:sz w:val="22"/>
          <w:szCs w:val="22"/>
        </w:rPr>
        <w:t xml:space="preserve">spike is due to the tuning of the systems. </w:t>
      </w:r>
    </w:p>
    <w:p w14:paraId="1AB68DEC" w14:textId="77777777" w:rsidR="00EF4FC6" w:rsidRPr="0007424C" w:rsidRDefault="00EF4FC6" w:rsidP="00EF4FC6">
      <w:pPr>
        <w:rPr>
          <w:rFonts w:ascii="Verdana" w:eastAsiaTheme="minorHAnsi" w:hAnsi="Verdana" w:cstheme="minorBidi"/>
          <w:color w:val="auto"/>
          <w:sz w:val="22"/>
          <w:szCs w:val="22"/>
        </w:rPr>
      </w:pPr>
    </w:p>
    <w:p w14:paraId="686F4437" w14:textId="77777777" w:rsidR="00EF4FC6" w:rsidRPr="0007424C" w:rsidRDefault="00EF4FC6" w:rsidP="00EF4FC6">
      <w:pPr>
        <w:jc w:val="center"/>
        <w:rPr>
          <w:rFonts w:eastAsiaTheme="minorHAnsi"/>
        </w:rPr>
      </w:pPr>
      <w:r w:rsidRPr="0007424C">
        <w:rPr>
          <w:rFonts w:eastAsiaTheme="minorHAnsi"/>
          <w:noProof/>
        </w:rPr>
        <w:drawing>
          <wp:inline distT="0" distB="0" distL="0" distR="0" wp14:anchorId="208C1A74" wp14:editId="5B6CCF96">
            <wp:extent cx="6529892" cy="2097742"/>
            <wp:effectExtent l="0" t="0" r="4445" b="0"/>
            <wp:docPr id="675" name="Chart 6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98D5A3" w14:textId="77777777" w:rsidR="00EF4FC6" w:rsidRPr="004A76A0" w:rsidRDefault="00EF4FC6" w:rsidP="004A76A0">
      <w:pPr>
        <w:pStyle w:val="Heading2"/>
        <w:rPr>
          <w:rFonts w:eastAsiaTheme="minorHAnsi"/>
        </w:rPr>
      </w:pPr>
      <w:bookmarkStart w:id="8" w:name="_Toc14262271"/>
      <w:r w:rsidRPr="004A76A0">
        <w:rPr>
          <w:rFonts w:eastAsiaTheme="minorHAnsi"/>
        </w:rPr>
        <w:t>Incident trends by category</w:t>
      </w:r>
      <w:bookmarkEnd w:id="8"/>
    </w:p>
    <w:p w14:paraId="75489804" w14:textId="77777777" w:rsidR="00EF4FC6" w:rsidRPr="0007424C" w:rsidRDefault="00EF4FC6" w:rsidP="00EF4FC6">
      <w:pPr>
        <w:spacing w:after="200"/>
        <w:ind w:right="720"/>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Reported security incidents are analyzed and grouped into one of the following categories described below:</w:t>
      </w:r>
    </w:p>
    <w:p w14:paraId="7CFCCE6E" w14:textId="77777777" w:rsidR="00EF4FC6" w:rsidRPr="0007424C" w:rsidRDefault="00EF4FC6" w:rsidP="00EF4FC6">
      <w:pPr>
        <w:numPr>
          <w:ilvl w:val="0"/>
          <w:numId w:val="10"/>
        </w:numPr>
        <w:spacing w:after="200"/>
        <w:ind w:right="360"/>
        <w:contextualSpacing/>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Denial of service - Loss of availability of a COV service due to malicious activity</w:t>
      </w:r>
    </w:p>
    <w:p w14:paraId="09885145" w14:textId="77777777" w:rsidR="00EF4FC6" w:rsidRPr="0007424C" w:rsidRDefault="00EF4FC6" w:rsidP="00EF4FC6">
      <w:pPr>
        <w:numPr>
          <w:ilvl w:val="0"/>
          <w:numId w:val="10"/>
        </w:numPr>
        <w:spacing w:after="200"/>
        <w:ind w:right="360"/>
        <w:contextualSpacing/>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Inappropriate usage - Misuse of COV resources</w:t>
      </w:r>
    </w:p>
    <w:p w14:paraId="4DA2688E" w14:textId="0736225E" w:rsidR="00EF4FC6" w:rsidRPr="0007424C" w:rsidRDefault="00EF4FC6" w:rsidP="00EF4FC6">
      <w:pPr>
        <w:numPr>
          <w:ilvl w:val="0"/>
          <w:numId w:val="10"/>
        </w:numPr>
        <w:spacing w:after="200"/>
        <w:ind w:right="360"/>
        <w:contextualSpacing/>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 xml:space="preserve">Information </w:t>
      </w:r>
      <w:r w:rsidR="00637027">
        <w:rPr>
          <w:rFonts w:ascii="Verdana" w:eastAsiaTheme="minorHAnsi" w:hAnsi="Verdana" w:cstheme="minorBidi"/>
          <w:color w:val="auto"/>
          <w:sz w:val="22"/>
          <w:szCs w:val="22"/>
        </w:rPr>
        <w:t>d</w:t>
      </w:r>
      <w:r w:rsidRPr="0007424C">
        <w:rPr>
          <w:rFonts w:ascii="Verdana" w:eastAsiaTheme="minorHAnsi" w:hAnsi="Verdana" w:cstheme="minorBidi"/>
          <w:color w:val="auto"/>
          <w:sz w:val="22"/>
          <w:szCs w:val="22"/>
        </w:rPr>
        <w:t>isclosure – COV data was exposed to recipients that didn’t have a need to know this data. COV systems were not access</w:t>
      </w:r>
      <w:r w:rsidR="00637027">
        <w:rPr>
          <w:rFonts w:ascii="Verdana" w:eastAsiaTheme="minorHAnsi" w:hAnsi="Verdana" w:cstheme="minorBidi"/>
          <w:color w:val="auto"/>
          <w:sz w:val="22"/>
          <w:szCs w:val="22"/>
        </w:rPr>
        <w:t>ed</w:t>
      </w:r>
      <w:r w:rsidRPr="0007424C">
        <w:rPr>
          <w:rFonts w:ascii="Verdana" w:eastAsiaTheme="minorHAnsi" w:hAnsi="Verdana" w:cstheme="minorBidi"/>
          <w:color w:val="auto"/>
          <w:sz w:val="22"/>
          <w:szCs w:val="22"/>
        </w:rPr>
        <w:t xml:space="preserve"> as part of the disclosure.</w:t>
      </w:r>
    </w:p>
    <w:p w14:paraId="6A91FB08" w14:textId="77777777" w:rsidR="00EF4FC6" w:rsidRPr="0007424C" w:rsidRDefault="00EF4FC6" w:rsidP="00EF4FC6">
      <w:pPr>
        <w:numPr>
          <w:ilvl w:val="0"/>
          <w:numId w:val="10"/>
        </w:numPr>
        <w:spacing w:after="200"/>
        <w:ind w:right="360"/>
        <w:contextualSpacing/>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Malware - Execution of malicious code such as viruses, Trojans, ransomware, spyware and key loggers</w:t>
      </w:r>
    </w:p>
    <w:p w14:paraId="7D584DE0" w14:textId="77777777" w:rsidR="00EF4FC6" w:rsidRPr="0007424C" w:rsidRDefault="00EF4FC6" w:rsidP="00EF4FC6">
      <w:pPr>
        <w:numPr>
          <w:ilvl w:val="0"/>
          <w:numId w:val="10"/>
        </w:numPr>
        <w:spacing w:after="200"/>
        <w:ind w:right="360"/>
        <w:contextualSpacing/>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Phishing - Theft or attempted theft of user information, such as account credentials</w:t>
      </w:r>
    </w:p>
    <w:p w14:paraId="3FB080C3" w14:textId="77777777" w:rsidR="00EF4FC6" w:rsidRPr="0007424C" w:rsidRDefault="00EF4FC6" w:rsidP="00EF4FC6">
      <w:pPr>
        <w:numPr>
          <w:ilvl w:val="0"/>
          <w:numId w:val="10"/>
        </w:numPr>
        <w:spacing w:after="200"/>
        <w:ind w:right="360"/>
        <w:contextualSpacing/>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Physical loss - Loss or theft of any COV resource that contains COV data</w:t>
      </w:r>
    </w:p>
    <w:p w14:paraId="71489260" w14:textId="77777777" w:rsidR="00EF4FC6" w:rsidRPr="0007424C" w:rsidRDefault="00EF4FC6" w:rsidP="00EF4FC6">
      <w:pPr>
        <w:numPr>
          <w:ilvl w:val="0"/>
          <w:numId w:val="10"/>
        </w:numPr>
        <w:spacing w:after="200"/>
        <w:ind w:right="360"/>
        <w:contextualSpacing/>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 xml:space="preserve">Unauthorized access - Unauthorized access to COV data </w:t>
      </w:r>
      <w:r w:rsidRPr="0007424C">
        <w:rPr>
          <w:rFonts w:ascii="Verdana" w:eastAsiaTheme="minorHAnsi" w:hAnsi="Verdana" w:cstheme="minorBidi"/>
          <w:color w:val="auto"/>
          <w:sz w:val="22"/>
          <w:szCs w:val="22"/>
        </w:rPr>
        <w:br/>
      </w:r>
    </w:p>
    <w:p w14:paraId="08246F67" w14:textId="4A471D12" w:rsidR="00EF4FC6" w:rsidRPr="0007424C" w:rsidRDefault="00EF4FC6" w:rsidP="00EF4FC6">
      <w:pPr>
        <w:spacing w:after="200"/>
        <w:ind w:right="360"/>
        <w:contextualSpacing/>
        <w:rPr>
          <w:rFonts w:ascii="Verdana" w:eastAsiaTheme="minorHAnsi" w:hAnsi="Verdana" w:cstheme="minorHAnsi"/>
          <w:sz w:val="22"/>
          <w:szCs w:val="22"/>
        </w:rPr>
      </w:pPr>
      <w:r w:rsidRPr="0007424C">
        <w:rPr>
          <w:rFonts w:ascii="Verdana" w:eastAsiaTheme="minorHAnsi" w:hAnsi="Verdana" w:cstheme="minorHAnsi"/>
          <w:sz w:val="22"/>
          <w:szCs w:val="22"/>
        </w:rPr>
        <w:t xml:space="preserve">During 2018, information disclosure and physical loss tied for the top category for security incidents. The addition of two-step and two-factor authentication prevented attackers from being able to utilized stolen credentials. The migration to </w:t>
      </w:r>
      <w:r w:rsidR="0039368E">
        <w:rPr>
          <w:rFonts w:ascii="Verdana" w:eastAsiaTheme="minorHAnsi" w:hAnsi="Verdana" w:cstheme="minorHAnsi"/>
          <w:sz w:val="22"/>
          <w:szCs w:val="22"/>
        </w:rPr>
        <w:t>enterprise email</w:t>
      </w:r>
      <w:r w:rsidR="0039368E" w:rsidRPr="0007424C">
        <w:rPr>
          <w:rFonts w:ascii="Verdana" w:eastAsiaTheme="minorHAnsi" w:hAnsi="Verdana" w:cstheme="minorHAnsi"/>
          <w:sz w:val="22"/>
          <w:szCs w:val="22"/>
        </w:rPr>
        <w:t xml:space="preserve"> </w:t>
      </w:r>
      <w:r w:rsidRPr="0007424C">
        <w:rPr>
          <w:rFonts w:ascii="Verdana" w:eastAsiaTheme="minorHAnsi" w:hAnsi="Verdana" w:cstheme="minorHAnsi"/>
          <w:sz w:val="22"/>
          <w:szCs w:val="22"/>
        </w:rPr>
        <w:t xml:space="preserve">caused some information disclosure incidents where users inadvertently sent emails to the wrong recipient or sent sensitive data without using encryption. In addition, COV employees were a target of theft of both laptops and cell phones. These issues can be addressed through </w:t>
      </w:r>
      <w:r w:rsidR="003F7F0A">
        <w:rPr>
          <w:rFonts w:ascii="Verdana" w:eastAsiaTheme="minorHAnsi" w:hAnsi="Verdana" w:cstheme="minorHAnsi"/>
          <w:sz w:val="22"/>
          <w:szCs w:val="22"/>
        </w:rPr>
        <w:t>c</w:t>
      </w:r>
      <w:r w:rsidRPr="0007424C">
        <w:rPr>
          <w:rFonts w:ascii="Verdana" w:eastAsiaTheme="minorHAnsi" w:hAnsi="Verdana" w:cstheme="minorHAnsi"/>
          <w:sz w:val="22"/>
          <w:szCs w:val="22"/>
        </w:rPr>
        <w:t xml:space="preserve">ybersecurity </w:t>
      </w:r>
      <w:r w:rsidR="003F7F0A">
        <w:rPr>
          <w:rFonts w:ascii="Verdana" w:eastAsiaTheme="minorHAnsi" w:hAnsi="Verdana" w:cstheme="minorHAnsi"/>
          <w:sz w:val="22"/>
          <w:szCs w:val="22"/>
        </w:rPr>
        <w:t>a</w:t>
      </w:r>
      <w:r w:rsidRPr="0007424C">
        <w:rPr>
          <w:rFonts w:ascii="Verdana" w:eastAsiaTheme="minorHAnsi" w:hAnsi="Verdana" w:cstheme="minorHAnsi"/>
          <w:sz w:val="22"/>
          <w:szCs w:val="22"/>
        </w:rPr>
        <w:t>wareness training which includes physical security of devices.</w:t>
      </w:r>
    </w:p>
    <w:p w14:paraId="78D285ED" w14:textId="77777777" w:rsidR="00EF4FC6" w:rsidRPr="0007424C" w:rsidRDefault="00EF4FC6" w:rsidP="00EF4FC6">
      <w:pPr>
        <w:spacing w:after="200"/>
        <w:ind w:right="360"/>
        <w:contextualSpacing/>
        <w:rPr>
          <w:rFonts w:ascii="Verdana" w:eastAsiaTheme="minorHAnsi" w:hAnsi="Verdana" w:cstheme="minorHAnsi"/>
          <w:sz w:val="22"/>
          <w:szCs w:val="22"/>
        </w:rPr>
      </w:pPr>
    </w:p>
    <w:p w14:paraId="3F68C830" w14:textId="609EA8C4" w:rsidR="00EF4FC6" w:rsidRPr="0007424C" w:rsidRDefault="00EF4FC6" w:rsidP="00EF4FC6">
      <w:pPr>
        <w:spacing w:after="200"/>
        <w:ind w:right="360"/>
        <w:contextualSpacing/>
        <w:rPr>
          <w:rFonts w:ascii="Verdana" w:eastAsiaTheme="minorHAnsi" w:hAnsi="Verdana" w:cstheme="minorHAnsi"/>
          <w:sz w:val="22"/>
          <w:szCs w:val="22"/>
        </w:rPr>
      </w:pPr>
      <w:r w:rsidRPr="0007424C">
        <w:rPr>
          <w:rFonts w:ascii="Verdana" w:eastAsiaTheme="minorHAnsi" w:hAnsi="Verdana" w:cstheme="minorHAnsi"/>
          <w:sz w:val="22"/>
          <w:szCs w:val="22"/>
        </w:rPr>
        <w:t>Malware dropped to third</w:t>
      </w:r>
      <w:r w:rsidR="003F7F0A">
        <w:rPr>
          <w:rFonts w:ascii="Verdana" w:eastAsiaTheme="minorHAnsi" w:hAnsi="Verdana" w:cstheme="minorHAnsi"/>
          <w:sz w:val="22"/>
          <w:szCs w:val="22"/>
        </w:rPr>
        <w:t>,</w:t>
      </w:r>
      <w:r w:rsidRPr="0007424C">
        <w:rPr>
          <w:rFonts w:ascii="Verdana" w:eastAsiaTheme="minorHAnsi" w:hAnsi="Verdana" w:cstheme="minorHAnsi"/>
          <w:sz w:val="22"/>
          <w:szCs w:val="22"/>
        </w:rPr>
        <w:t xml:space="preserve"> with unauthorized access moving to fourth. Security awareness training, implementation of two</w:t>
      </w:r>
      <w:r w:rsidR="003F7F0A">
        <w:rPr>
          <w:rFonts w:ascii="Verdana" w:eastAsiaTheme="minorHAnsi" w:hAnsi="Verdana" w:cstheme="minorHAnsi"/>
          <w:sz w:val="22"/>
          <w:szCs w:val="22"/>
        </w:rPr>
        <w:t>-</w:t>
      </w:r>
      <w:r w:rsidRPr="0007424C">
        <w:rPr>
          <w:rFonts w:ascii="Verdana" w:eastAsiaTheme="minorHAnsi" w:hAnsi="Verdana" w:cstheme="minorHAnsi"/>
          <w:sz w:val="22"/>
          <w:szCs w:val="22"/>
        </w:rPr>
        <w:t>step and multifactor authentication, and full disk encryption are controls VITA has implemented to limit the impact of those incident categories. Teaching users to protect their passwords and to utilize unique passwords for each account sign-on instance help reduce the likelihood of such incidents. Full disk encryption is leveraged to mitigate data loss in hardware thefts; however, as this issue is also attributed to user behavior, theft prevention is also included in security awareness training.</w:t>
      </w:r>
    </w:p>
    <w:p w14:paraId="31D4B347" w14:textId="77777777" w:rsidR="00EF4FC6" w:rsidRPr="0007424C" w:rsidRDefault="00EF4FC6" w:rsidP="00EF4FC6">
      <w:pPr>
        <w:rPr>
          <w:rFonts w:ascii="Verdana" w:eastAsiaTheme="minorHAnsi" w:hAnsi="Verdana" w:cstheme="minorBidi"/>
          <w:b/>
          <w:color w:val="auto"/>
          <w:sz w:val="22"/>
          <w:szCs w:val="22"/>
        </w:rPr>
      </w:pPr>
      <w:r w:rsidRPr="0007424C">
        <w:rPr>
          <w:rFonts w:ascii="Verdana" w:hAnsi="Verdana"/>
          <w:noProof/>
          <w:sz w:val="22"/>
          <w:szCs w:val="22"/>
        </w:rPr>
        <w:t xml:space="preserve"> </w:t>
      </w:r>
      <w:r w:rsidRPr="0007424C">
        <w:rPr>
          <w:rFonts w:ascii="Verdana" w:eastAsiaTheme="minorHAnsi" w:hAnsi="Verdana" w:cstheme="minorBidi"/>
          <w:noProof/>
          <w:color w:val="auto"/>
          <w:sz w:val="22"/>
          <w:szCs w:val="22"/>
        </w:rPr>
        <w:drawing>
          <wp:inline distT="0" distB="0" distL="0" distR="0" wp14:anchorId="503D003E" wp14:editId="4F3F1D9E">
            <wp:extent cx="6467475" cy="2733675"/>
            <wp:effectExtent l="0" t="0" r="0" b="9525"/>
            <wp:docPr id="677" name="Chart 6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EE7C77" w14:textId="77777777" w:rsidR="00EF4FC6" w:rsidRDefault="00EF4FC6" w:rsidP="00EF4FC6">
      <w:pPr>
        <w:rPr>
          <w:rFonts w:ascii="Verdana" w:eastAsiaTheme="minorHAnsi" w:hAnsi="Verdana" w:cstheme="minorBidi"/>
          <w:b/>
          <w:color w:val="auto"/>
          <w:sz w:val="22"/>
          <w:szCs w:val="22"/>
        </w:rPr>
      </w:pPr>
    </w:p>
    <w:p w14:paraId="2329BA9F" w14:textId="77777777" w:rsidR="00EF4FC6" w:rsidRPr="0007424C" w:rsidRDefault="00EF4FC6" w:rsidP="00EF4FC6">
      <w:pPr>
        <w:rPr>
          <w:rFonts w:ascii="Verdana" w:eastAsiaTheme="minorHAnsi" w:hAnsi="Verdana" w:cstheme="minorBidi"/>
          <w:b/>
          <w:color w:val="auto"/>
          <w:sz w:val="22"/>
          <w:szCs w:val="22"/>
        </w:rPr>
      </w:pPr>
      <w:r w:rsidRPr="0007424C">
        <w:rPr>
          <w:rFonts w:ascii="Verdana" w:eastAsiaTheme="minorHAnsi" w:hAnsi="Verdana" w:cstheme="minorBidi"/>
          <w:b/>
          <w:color w:val="auto"/>
          <w:sz w:val="22"/>
          <w:szCs w:val="22"/>
        </w:rPr>
        <w:t>Malware blocked</w:t>
      </w:r>
    </w:p>
    <w:p w14:paraId="12E933FD" w14:textId="41AFE8A4" w:rsidR="00EF4FC6" w:rsidRPr="0007424C" w:rsidRDefault="00EF4FC6" w:rsidP="00EF4FC6">
      <w:pPr>
        <w:contextualSpacing/>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 xml:space="preserve">During </w:t>
      </w:r>
      <w:r w:rsidR="001B4115">
        <w:rPr>
          <w:rFonts w:ascii="Verdana" w:eastAsiaTheme="minorHAnsi" w:hAnsi="Verdana" w:cstheme="minorBidi"/>
          <w:color w:val="auto"/>
          <w:sz w:val="22"/>
          <w:szCs w:val="22"/>
        </w:rPr>
        <w:t>p</w:t>
      </w:r>
      <w:r>
        <w:rPr>
          <w:rFonts w:ascii="Verdana" w:eastAsiaTheme="minorHAnsi" w:hAnsi="Verdana" w:cstheme="minorBidi"/>
          <w:color w:val="auto"/>
          <w:sz w:val="22"/>
          <w:szCs w:val="22"/>
        </w:rPr>
        <w:t xml:space="preserve">hase </w:t>
      </w:r>
      <w:r w:rsidR="001B4115">
        <w:rPr>
          <w:rFonts w:ascii="Verdana" w:eastAsiaTheme="minorHAnsi" w:hAnsi="Verdana" w:cstheme="minorBidi"/>
          <w:color w:val="auto"/>
          <w:sz w:val="22"/>
          <w:szCs w:val="22"/>
        </w:rPr>
        <w:t>two</w:t>
      </w:r>
      <w:r>
        <w:rPr>
          <w:rFonts w:ascii="Verdana" w:eastAsiaTheme="minorHAnsi" w:hAnsi="Verdana" w:cstheme="minorBidi"/>
          <w:color w:val="auto"/>
          <w:sz w:val="22"/>
          <w:szCs w:val="22"/>
        </w:rPr>
        <w:t xml:space="preserve"> of the email migration project, a new web gateway product was introduced into the COV environment. This product protects COV systems from receiving malware via the </w:t>
      </w:r>
      <w:r w:rsidR="00493158">
        <w:rPr>
          <w:rFonts w:ascii="Verdana" w:eastAsiaTheme="minorHAnsi" w:hAnsi="Verdana" w:cstheme="minorBidi"/>
          <w:color w:val="auto"/>
          <w:sz w:val="22"/>
          <w:szCs w:val="22"/>
        </w:rPr>
        <w:t>i</w:t>
      </w:r>
      <w:r>
        <w:rPr>
          <w:rFonts w:ascii="Verdana" w:eastAsiaTheme="minorHAnsi" w:hAnsi="Verdana" w:cstheme="minorBidi"/>
          <w:color w:val="auto"/>
          <w:sz w:val="22"/>
          <w:szCs w:val="22"/>
        </w:rPr>
        <w:t xml:space="preserve">nternet. The new web gateway has been configured to scan all files while they are being downloaded to prevent malware from being delivered to the end user. If a file is determined to be malicious, it will not allow the user to receive the file. </w:t>
      </w:r>
      <w:r w:rsidRPr="0007424C">
        <w:rPr>
          <w:rFonts w:ascii="Verdana" w:eastAsiaTheme="minorHAnsi" w:hAnsi="Verdana" w:cstheme="minorBidi"/>
          <w:color w:val="auto"/>
          <w:sz w:val="22"/>
          <w:szCs w:val="22"/>
        </w:rPr>
        <w:t>While</w:t>
      </w:r>
      <w:r>
        <w:rPr>
          <w:rFonts w:ascii="Verdana" w:eastAsiaTheme="minorHAnsi" w:hAnsi="Verdana" w:cstheme="minorBidi"/>
          <w:color w:val="auto"/>
          <w:sz w:val="22"/>
          <w:szCs w:val="22"/>
        </w:rPr>
        <w:t xml:space="preserve"> the new gateway blocked 99.99% of malware, the</w:t>
      </w:r>
      <w:r w:rsidRPr="0007424C">
        <w:rPr>
          <w:rFonts w:ascii="Verdana" w:eastAsiaTheme="minorHAnsi" w:hAnsi="Verdana" w:cstheme="minorBidi"/>
          <w:color w:val="auto"/>
          <w:sz w:val="22"/>
          <w:szCs w:val="22"/>
        </w:rPr>
        <w:t xml:space="preserve"> commonwealth </w:t>
      </w:r>
      <w:r>
        <w:rPr>
          <w:rFonts w:ascii="Verdana" w:eastAsiaTheme="minorHAnsi" w:hAnsi="Verdana" w:cstheme="minorBidi"/>
          <w:color w:val="auto"/>
          <w:sz w:val="22"/>
          <w:szCs w:val="22"/>
        </w:rPr>
        <w:t xml:space="preserve">still </w:t>
      </w:r>
      <w:r w:rsidRPr="0007424C">
        <w:rPr>
          <w:rFonts w:ascii="Verdana" w:eastAsiaTheme="minorHAnsi" w:hAnsi="Verdana" w:cstheme="minorBidi"/>
          <w:color w:val="auto"/>
          <w:sz w:val="22"/>
          <w:szCs w:val="22"/>
        </w:rPr>
        <w:t>experienced 35 successful malware infection</w:t>
      </w:r>
      <w:r>
        <w:rPr>
          <w:rFonts w:ascii="Verdana" w:eastAsiaTheme="minorHAnsi" w:hAnsi="Verdana" w:cstheme="minorBidi"/>
          <w:color w:val="auto"/>
          <w:sz w:val="22"/>
          <w:szCs w:val="22"/>
        </w:rPr>
        <w:t>s</w:t>
      </w:r>
      <w:r w:rsidRPr="0007424C">
        <w:rPr>
          <w:rFonts w:ascii="Verdana" w:eastAsiaTheme="minorHAnsi" w:hAnsi="Verdana" w:cstheme="minorBidi"/>
          <w:color w:val="auto"/>
          <w:sz w:val="22"/>
          <w:szCs w:val="22"/>
        </w:rPr>
        <w:t>. Of these successful malware infections, 37</w:t>
      </w:r>
      <w:r>
        <w:rPr>
          <w:rFonts w:ascii="Verdana" w:eastAsiaTheme="minorHAnsi" w:hAnsi="Verdana" w:cstheme="minorBidi"/>
          <w:color w:val="auto"/>
          <w:sz w:val="22"/>
          <w:szCs w:val="22"/>
        </w:rPr>
        <w:t>%</w:t>
      </w:r>
      <w:r w:rsidRPr="0007424C">
        <w:rPr>
          <w:rFonts w:ascii="Verdana" w:eastAsiaTheme="minorHAnsi" w:hAnsi="Verdana" w:cstheme="minorBidi"/>
          <w:color w:val="auto"/>
          <w:sz w:val="22"/>
          <w:szCs w:val="22"/>
        </w:rPr>
        <w:t xml:space="preserve"> targeted the Microsoft Office suite by overwriting memory causing buffer overflows or malware being delivered through a malicious word attachment.     </w:t>
      </w:r>
    </w:p>
    <w:p w14:paraId="177C3CAA" w14:textId="77777777" w:rsidR="00EF4FC6" w:rsidRPr="0007424C" w:rsidRDefault="00EF4FC6" w:rsidP="00EF4FC6">
      <w:pPr>
        <w:contextualSpacing/>
        <w:rPr>
          <w:rFonts w:ascii="Verdana" w:eastAsiaTheme="minorHAnsi" w:hAnsi="Verdana" w:cstheme="minorBidi"/>
          <w:color w:val="auto"/>
          <w:sz w:val="22"/>
          <w:szCs w:val="22"/>
        </w:rPr>
      </w:pPr>
      <w:r w:rsidRPr="0007424C">
        <w:rPr>
          <w:rFonts w:ascii="Verdana" w:eastAsiaTheme="minorHAnsi" w:hAnsi="Verdana" w:cstheme="minorBidi"/>
          <w:noProof/>
          <w:color w:val="auto"/>
          <w:sz w:val="22"/>
          <w:szCs w:val="22"/>
        </w:rPr>
        <mc:AlternateContent>
          <mc:Choice Requires="wps">
            <w:drawing>
              <wp:anchor distT="0" distB="0" distL="114300" distR="114300" simplePos="0" relativeHeight="251659264" behindDoc="0" locked="0" layoutInCell="1" allowOverlap="1" wp14:anchorId="43602119" wp14:editId="59E288BB">
                <wp:simplePos x="0" y="0"/>
                <wp:positionH relativeFrom="column">
                  <wp:posOffset>1866900</wp:posOffset>
                </wp:positionH>
                <wp:positionV relativeFrom="paragraph">
                  <wp:posOffset>72390</wp:posOffset>
                </wp:positionV>
                <wp:extent cx="2628900" cy="1403985"/>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3985"/>
                        </a:xfrm>
                        <a:prstGeom prst="rect">
                          <a:avLst/>
                        </a:prstGeom>
                        <a:solidFill>
                          <a:srgbClr val="FFFFFF"/>
                        </a:solidFill>
                        <a:ln w="9525">
                          <a:noFill/>
                          <a:miter lim="800000"/>
                          <a:headEnd/>
                          <a:tailEnd/>
                        </a:ln>
                      </wps:spPr>
                      <wps:txbx>
                        <w:txbxContent>
                          <w:p w14:paraId="39AFB99B" w14:textId="77777777" w:rsidR="004B53EA" w:rsidRPr="003B60CC" w:rsidRDefault="004B53EA" w:rsidP="00EF4FC6">
                            <w:pPr>
                              <w:jc w:val="center"/>
                              <w:rPr>
                                <w:rFonts w:ascii="Verdana" w:hAnsi="Verdana"/>
                                <w:b/>
                              </w:rPr>
                            </w:pPr>
                            <w:r w:rsidRPr="003B60CC">
                              <w:rPr>
                                <w:rFonts w:ascii="Verdana" w:hAnsi="Verdana"/>
                                <w:b/>
                              </w:rPr>
                              <w:t>Malware Blocked</w:t>
                            </w:r>
                          </w:p>
                          <w:p w14:paraId="25704EC5" w14:textId="77777777" w:rsidR="004B53EA" w:rsidRPr="003B60CC" w:rsidRDefault="004B53EA" w:rsidP="00EF4FC6">
                            <w:pPr>
                              <w:jc w:val="center"/>
                              <w:rPr>
                                <w:rFonts w:ascii="Verdana" w:hAnsi="Verdana"/>
                                <w:b/>
                              </w:rPr>
                            </w:pPr>
                            <w:r w:rsidRPr="003B60CC">
                              <w:rPr>
                                <w:rFonts w:ascii="Verdana" w:hAnsi="Verdana"/>
                                <w:b/>
                              </w:rPr>
                              <w:t>2016 - 2018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147pt;margin-top:5.7pt;width:20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" stroked="f">
                <v:textbox style="mso-fit-shape-to-text:t">
                  <w:txbxContent>
                    <w:p w14:paraId="39AFB99B" w14:textId="77777777" w:rsidR="004B53EA" w:rsidRPr="003B60CC" w:rsidRDefault="004B53EA" w:rsidP="00EF4FC6">
                      <w:pPr>
                        <w:jc w:val="center"/>
                        <w:rPr>
                          <w:rFonts w:ascii="Verdana" w:hAnsi="Verdana"/>
                          <w:b/>
                        </w:rPr>
                      </w:pPr>
                      <w:r w:rsidRPr="003B60CC">
                        <w:rPr>
                          <w:rFonts w:ascii="Verdana" w:hAnsi="Verdana"/>
                          <w:b/>
                        </w:rPr>
                        <w:t>Malware Blocked</w:t>
                      </w:r>
                    </w:p>
                    <w:p w14:paraId="25704EC5" w14:textId="77777777" w:rsidR="004B53EA" w:rsidRPr="003B60CC" w:rsidRDefault="004B53EA" w:rsidP="00EF4FC6">
                      <w:pPr>
                        <w:jc w:val="center"/>
                        <w:rPr>
                          <w:rFonts w:ascii="Verdana" w:hAnsi="Verdana"/>
                          <w:b/>
                        </w:rPr>
                      </w:pPr>
                      <w:r w:rsidRPr="003B60CC">
                        <w:rPr>
                          <w:rFonts w:ascii="Verdana" w:hAnsi="Verdana"/>
                          <w:b/>
                        </w:rPr>
                        <w:t>2016 - 2018</w:t>
                      </w:r>
                    </w:p>
                  </w:txbxContent>
                </v:textbox>
              </v:shape>
            </w:pict>
          </mc:Fallback>
        </mc:AlternateContent>
      </w:r>
    </w:p>
    <w:p w14:paraId="143011BD" w14:textId="77777777" w:rsidR="00EF4FC6" w:rsidRPr="0007424C" w:rsidRDefault="00EF4FC6" w:rsidP="00EF4FC6">
      <w:pPr>
        <w:contextualSpacing/>
        <w:jc w:val="center"/>
        <w:rPr>
          <w:rFonts w:ascii="Verdana" w:eastAsiaTheme="minorHAnsi" w:hAnsi="Verdana" w:cstheme="minorBidi"/>
          <w:color w:val="auto"/>
          <w:sz w:val="22"/>
          <w:szCs w:val="22"/>
        </w:rPr>
      </w:pPr>
      <w:r w:rsidRPr="0007424C">
        <w:rPr>
          <w:rFonts w:ascii="Verdana" w:eastAsiaTheme="minorHAnsi" w:hAnsi="Verdana" w:cstheme="minorBidi"/>
          <w:noProof/>
          <w:color w:val="auto"/>
          <w:sz w:val="22"/>
          <w:szCs w:val="22"/>
        </w:rPr>
        <w:drawing>
          <wp:inline distT="0" distB="0" distL="0" distR="0" wp14:anchorId="62A4672A" wp14:editId="5816B26A">
            <wp:extent cx="5943600" cy="2457450"/>
            <wp:effectExtent l="0" t="0" r="0" b="0"/>
            <wp:docPr id="678" name="Chart 6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3253A2F" w14:textId="77777777" w:rsidR="00EF4FC6" w:rsidRPr="0007424C" w:rsidRDefault="00EF4FC6" w:rsidP="00EF4FC6">
      <w:pPr>
        <w:contextualSpacing/>
        <w:rPr>
          <w:rFonts w:ascii="Verdana" w:eastAsiaTheme="minorHAnsi" w:hAnsi="Verdana" w:cstheme="minorBidi"/>
          <w:color w:val="auto"/>
          <w:sz w:val="22"/>
          <w:szCs w:val="22"/>
        </w:rPr>
      </w:pPr>
    </w:p>
    <w:p w14:paraId="1635CB3C" w14:textId="77777777" w:rsidR="00EF4FC6" w:rsidRPr="0007424C" w:rsidRDefault="00EF4FC6" w:rsidP="00EF4FC6">
      <w:pPr>
        <w:spacing w:after="200"/>
        <w:ind w:right="720"/>
        <w:contextualSpacing/>
        <w:rPr>
          <w:rFonts w:ascii="Verdana" w:eastAsiaTheme="minorHAnsi" w:hAnsi="Verdana" w:cstheme="minorBidi"/>
          <w:color w:val="auto"/>
          <w:sz w:val="22"/>
          <w:szCs w:val="22"/>
        </w:rPr>
      </w:pPr>
    </w:p>
    <w:p w14:paraId="28C26C14" w14:textId="77777777" w:rsidR="00EF4FC6" w:rsidRPr="0007424C" w:rsidRDefault="00EF4FC6" w:rsidP="00EF4FC6">
      <w:pPr>
        <w:rPr>
          <w:rFonts w:ascii="Verdana" w:eastAsiaTheme="minorHAnsi" w:hAnsi="Verdana" w:cstheme="minorBidi"/>
          <w:b/>
          <w:color w:val="auto"/>
          <w:sz w:val="22"/>
          <w:szCs w:val="22"/>
        </w:rPr>
      </w:pPr>
      <w:r w:rsidRPr="0007424C">
        <w:rPr>
          <w:rFonts w:ascii="Verdana" w:eastAsiaTheme="minorHAnsi" w:hAnsi="Verdana" w:cstheme="minorBidi"/>
          <w:b/>
          <w:color w:val="auto"/>
          <w:sz w:val="22"/>
          <w:szCs w:val="22"/>
        </w:rPr>
        <w:t>Vulnerability tracking</w:t>
      </w:r>
    </w:p>
    <w:p w14:paraId="45B90658" w14:textId="33030C3A" w:rsidR="00EF4FC6" w:rsidRPr="0007424C" w:rsidRDefault="00EF4FC6" w:rsidP="00EF4FC6">
      <w:pPr>
        <w:spacing w:after="200"/>
        <w:ind w:right="720"/>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 xml:space="preserve">As part of tracking threats to the commonwealth, CSRM monitors </w:t>
      </w:r>
      <w:r w:rsidR="00637027">
        <w:rPr>
          <w:rFonts w:ascii="Verdana" w:eastAsiaTheme="minorHAnsi" w:hAnsi="Verdana" w:cstheme="minorBidi"/>
          <w:color w:val="auto"/>
          <w:sz w:val="22"/>
          <w:szCs w:val="22"/>
        </w:rPr>
        <w:t xml:space="preserve">commonwealth </w:t>
      </w:r>
      <w:r w:rsidRPr="0007424C">
        <w:rPr>
          <w:rFonts w:ascii="Verdana" w:eastAsiaTheme="minorHAnsi" w:hAnsi="Verdana" w:cstheme="minorBidi"/>
          <w:color w:val="auto"/>
          <w:sz w:val="22"/>
          <w:szCs w:val="22"/>
        </w:rPr>
        <w:t>systems for newly discovered vulnerabilities and incorporates them into a weekly advisory. This advisory is distributed to localities, state agencies and higher education. In 2018 the advisory identified 4,287 vulnerabilities that could affect commonwealth systems. ISOs can use this information to ensure that systems are being patched in compliance with security standards.</w:t>
      </w:r>
    </w:p>
    <w:p w14:paraId="663537F5" w14:textId="77777777" w:rsidR="00EF4FC6" w:rsidRPr="0007424C" w:rsidRDefault="00EF4FC6" w:rsidP="00EF4FC6">
      <w:pPr>
        <w:spacing w:after="200"/>
        <w:ind w:right="720"/>
        <w:jc w:val="center"/>
        <w:rPr>
          <w:rFonts w:ascii="Verdana" w:eastAsiaTheme="minorHAnsi" w:hAnsi="Verdana" w:cstheme="minorBidi"/>
          <w:color w:val="auto"/>
          <w:sz w:val="22"/>
          <w:szCs w:val="22"/>
        </w:rPr>
      </w:pPr>
      <w:r w:rsidRPr="0007424C">
        <w:rPr>
          <w:rFonts w:ascii="Verdana" w:eastAsiaTheme="minorHAnsi" w:hAnsi="Verdana" w:cstheme="minorBidi"/>
          <w:noProof/>
          <w:color w:val="auto"/>
          <w:sz w:val="22"/>
          <w:szCs w:val="22"/>
        </w:rPr>
        <w:drawing>
          <wp:inline distT="0" distB="0" distL="0" distR="0" wp14:anchorId="79C76585" wp14:editId="718E976C">
            <wp:extent cx="5734050" cy="2076450"/>
            <wp:effectExtent l="0" t="0" r="0" b="0"/>
            <wp:docPr id="680" name="Chart 6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2B0919D" w14:textId="77777777" w:rsidR="00EF4FC6" w:rsidRPr="0007424C" w:rsidRDefault="00EF4FC6" w:rsidP="00EF4FC6">
      <w:pPr>
        <w:rPr>
          <w:rFonts w:ascii="Verdana" w:eastAsiaTheme="minorHAnsi" w:hAnsi="Verdana" w:cstheme="minorBidi"/>
          <w:b/>
          <w:color w:val="auto"/>
          <w:sz w:val="22"/>
          <w:szCs w:val="22"/>
        </w:rPr>
      </w:pPr>
    </w:p>
    <w:p w14:paraId="6ACF052E" w14:textId="1184A1CF" w:rsidR="00EF4FC6" w:rsidRPr="0007424C" w:rsidRDefault="00EF4FC6" w:rsidP="00EF4FC6">
      <w:pPr>
        <w:rPr>
          <w:rFonts w:ascii="Verdana" w:eastAsiaTheme="minorHAnsi" w:hAnsi="Verdana" w:cstheme="minorBidi"/>
          <w:color w:val="auto"/>
          <w:sz w:val="22"/>
          <w:szCs w:val="22"/>
        </w:rPr>
      </w:pPr>
      <w:r w:rsidRPr="0007424C">
        <w:rPr>
          <w:rFonts w:ascii="Verdana" w:eastAsiaTheme="minorHAnsi" w:hAnsi="Verdana" w:cstheme="minorBidi"/>
          <w:b/>
          <w:color w:val="auto"/>
          <w:sz w:val="22"/>
          <w:szCs w:val="22"/>
        </w:rPr>
        <w:t>Critical exploits</w:t>
      </w:r>
      <w:r>
        <w:rPr>
          <w:rFonts w:ascii="Verdana" w:eastAsiaTheme="minorHAnsi" w:hAnsi="Verdana" w:cstheme="minorBidi"/>
          <w:b/>
          <w:color w:val="auto"/>
          <w:sz w:val="22"/>
          <w:szCs w:val="22"/>
        </w:rPr>
        <w:t xml:space="preserve"> in the wild</w:t>
      </w:r>
      <w:r w:rsidRPr="0007424C">
        <w:rPr>
          <w:rFonts w:ascii="Verdana" w:eastAsiaTheme="minorHAnsi" w:hAnsi="Verdana" w:cstheme="minorBidi"/>
          <w:b/>
          <w:color w:val="auto"/>
          <w:sz w:val="22"/>
          <w:szCs w:val="22"/>
        </w:rPr>
        <w:t xml:space="preserve"> increased by </w:t>
      </w:r>
      <w:r w:rsidR="00493158">
        <w:rPr>
          <w:rFonts w:ascii="Verdana" w:eastAsiaTheme="minorHAnsi" w:hAnsi="Verdana" w:cstheme="minorBidi"/>
          <w:b/>
          <w:color w:val="auto"/>
          <w:sz w:val="22"/>
          <w:szCs w:val="22"/>
        </w:rPr>
        <w:t>19%</w:t>
      </w:r>
      <w:r w:rsidRPr="0007424C">
        <w:rPr>
          <w:rFonts w:ascii="Verdana" w:eastAsiaTheme="minorHAnsi" w:hAnsi="Verdana" w:cstheme="minorBidi"/>
          <w:b/>
          <w:color w:val="auto"/>
          <w:sz w:val="22"/>
          <w:szCs w:val="22"/>
        </w:rPr>
        <w:t xml:space="preserve"> from the previous year</w:t>
      </w:r>
    </w:p>
    <w:p w14:paraId="2306AB0D" w14:textId="31200E6F" w:rsidR="00EF4FC6" w:rsidRPr="0007424C" w:rsidRDefault="00EF4FC6" w:rsidP="00EF4FC6">
      <w:pPr>
        <w:contextualSpacing/>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Zero</w:t>
      </w:r>
      <w:r w:rsidR="00493158">
        <w:rPr>
          <w:rFonts w:ascii="Verdana" w:eastAsiaTheme="minorHAnsi" w:hAnsi="Verdana" w:cstheme="minorBidi"/>
          <w:color w:val="auto"/>
          <w:sz w:val="22"/>
          <w:szCs w:val="22"/>
        </w:rPr>
        <w:t xml:space="preserve"> </w:t>
      </w:r>
      <w:r w:rsidRPr="0007424C">
        <w:rPr>
          <w:rFonts w:ascii="Verdana" w:eastAsiaTheme="minorHAnsi" w:hAnsi="Verdana" w:cstheme="minorBidi"/>
          <w:color w:val="auto"/>
          <w:sz w:val="22"/>
          <w:szCs w:val="22"/>
        </w:rPr>
        <w:t xml:space="preserve">day vulnerabilities are newly discovered vulnerabilities that do not have patches available.   These vulnerabilities are prime targets for attackers. Attackers develop exploit code using these vulnerabilities to install malware on a device before the </w:t>
      </w:r>
      <w:r w:rsidR="00493158">
        <w:rPr>
          <w:rFonts w:ascii="Verdana" w:eastAsiaTheme="minorHAnsi" w:hAnsi="Verdana" w:cstheme="minorBidi"/>
          <w:color w:val="auto"/>
          <w:sz w:val="22"/>
          <w:szCs w:val="22"/>
        </w:rPr>
        <w:t>manufacturer</w:t>
      </w:r>
      <w:r w:rsidRPr="0007424C">
        <w:rPr>
          <w:rFonts w:ascii="Verdana" w:eastAsiaTheme="minorHAnsi" w:hAnsi="Verdana" w:cstheme="minorBidi"/>
          <w:color w:val="auto"/>
          <w:sz w:val="22"/>
          <w:szCs w:val="22"/>
        </w:rPr>
        <w:t xml:space="preserve"> can provide an update or patches can be applied. As attackers publish the exploit code in the wild, these zero</w:t>
      </w:r>
      <w:r w:rsidR="00493158">
        <w:rPr>
          <w:rFonts w:ascii="Verdana" w:eastAsiaTheme="minorHAnsi" w:hAnsi="Verdana" w:cstheme="minorBidi"/>
          <w:color w:val="auto"/>
          <w:sz w:val="22"/>
          <w:szCs w:val="22"/>
        </w:rPr>
        <w:t xml:space="preserve"> </w:t>
      </w:r>
      <w:r w:rsidRPr="0007424C">
        <w:rPr>
          <w:rFonts w:ascii="Verdana" w:eastAsiaTheme="minorHAnsi" w:hAnsi="Verdana" w:cstheme="minorBidi"/>
          <w:color w:val="auto"/>
          <w:sz w:val="22"/>
          <w:szCs w:val="22"/>
        </w:rPr>
        <w:t xml:space="preserve">day vulnerabilities pose an increased risk to the environment. </w:t>
      </w:r>
    </w:p>
    <w:p w14:paraId="51DCD66E" w14:textId="77777777" w:rsidR="00EF4FC6" w:rsidRPr="0007424C" w:rsidRDefault="00EF4FC6" w:rsidP="00EF4FC6">
      <w:pPr>
        <w:tabs>
          <w:tab w:val="left" w:pos="4290"/>
        </w:tabs>
        <w:spacing w:after="200"/>
        <w:contextualSpacing/>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ab/>
      </w:r>
    </w:p>
    <w:p w14:paraId="201B2975" w14:textId="517074F2" w:rsidR="00EF4FC6" w:rsidRPr="0007424C" w:rsidRDefault="00EF4FC6" w:rsidP="00EF4FC6">
      <w:pPr>
        <w:spacing w:after="200"/>
        <w:contextualSpacing/>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 xml:space="preserve">During 2018, the total number of critical exploits </w:t>
      </w:r>
      <w:r>
        <w:rPr>
          <w:rFonts w:ascii="Verdana" w:eastAsiaTheme="minorHAnsi" w:hAnsi="Verdana" w:cstheme="minorBidi"/>
          <w:color w:val="auto"/>
          <w:sz w:val="22"/>
          <w:szCs w:val="22"/>
        </w:rPr>
        <w:t xml:space="preserve">tracked by CSRM </w:t>
      </w:r>
      <w:r w:rsidRPr="0007424C">
        <w:rPr>
          <w:rFonts w:ascii="Verdana" w:eastAsiaTheme="minorHAnsi" w:hAnsi="Verdana" w:cstheme="minorBidi"/>
          <w:color w:val="auto"/>
          <w:sz w:val="22"/>
          <w:szCs w:val="22"/>
        </w:rPr>
        <w:t xml:space="preserve">rose from 125 to 149, a </w:t>
      </w:r>
      <w:r w:rsidR="00493158">
        <w:rPr>
          <w:rFonts w:ascii="Verdana" w:eastAsiaTheme="minorHAnsi" w:hAnsi="Verdana" w:cstheme="minorBidi"/>
          <w:color w:val="auto"/>
          <w:sz w:val="22"/>
          <w:szCs w:val="22"/>
        </w:rPr>
        <w:t>19%</w:t>
      </w:r>
      <w:r w:rsidRPr="0007424C">
        <w:rPr>
          <w:rFonts w:ascii="Verdana" w:eastAsiaTheme="minorHAnsi" w:hAnsi="Verdana" w:cstheme="minorBidi"/>
          <w:color w:val="auto"/>
          <w:sz w:val="22"/>
          <w:szCs w:val="22"/>
        </w:rPr>
        <w:t xml:space="preserve"> increase. In order to </w:t>
      </w:r>
      <w:r>
        <w:rPr>
          <w:rFonts w:ascii="Verdana" w:eastAsiaTheme="minorHAnsi" w:hAnsi="Verdana" w:cstheme="minorBidi"/>
          <w:color w:val="auto"/>
          <w:sz w:val="22"/>
          <w:szCs w:val="22"/>
        </w:rPr>
        <w:t xml:space="preserve">address </w:t>
      </w:r>
      <w:r w:rsidRPr="0007424C">
        <w:rPr>
          <w:rFonts w:ascii="Verdana" w:eastAsiaTheme="minorHAnsi" w:hAnsi="Verdana" w:cstheme="minorBidi"/>
          <w:color w:val="auto"/>
          <w:sz w:val="22"/>
          <w:szCs w:val="22"/>
        </w:rPr>
        <w:t xml:space="preserve">the increased risk to the environment, CSRM implemented a series of new </w:t>
      </w:r>
      <w:r>
        <w:rPr>
          <w:rFonts w:ascii="Verdana" w:eastAsiaTheme="minorHAnsi" w:hAnsi="Verdana" w:cstheme="minorBidi"/>
          <w:color w:val="auto"/>
          <w:sz w:val="22"/>
          <w:szCs w:val="22"/>
        </w:rPr>
        <w:t xml:space="preserve">security </w:t>
      </w:r>
      <w:r w:rsidRPr="0007424C">
        <w:rPr>
          <w:rFonts w:ascii="Verdana" w:eastAsiaTheme="minorHAnsi" w:hAnsi="Verdana" w:cstheme="minorBidi"/>
          <w:color w:val="auto"/>
          <w:sz w:val="22"/>
          <w:szCs w:val="22"/>
        </w:rPr>
        <w:t>controls. The chart below shows th</w:t>
      </w:r>
      <w:r>
        <w:rPr>
          <w:rFonts w:ascii="Verdana" w:eastAsiaTheme="minorHAnsi" w:hAnsi="Verdana" w:cstheme="minorBidi"/>
          <w:color w:val="auto"/>
          <w:sz w:val="22"/>
          <w:szCs w:val="22"/>
        </w:rPr>
        <w:t xml:space="preserve">e effect that </w:t>
      </w:r>
      <w:r w:rsidRPr="0007424C">
        <w:rPr>
          <w:rFonts w:ascii="Verdana" w:eastAsiaTheme="minorHAnsi" w:hAnsi="Verdana" w:cstheme="minorBidi"/>
          <w:color w:val="auto"/>
          <w:sz w:val="22"/>
          <w:szCs w:val="22"/>
        </w:rPr>
        <w:t xml:space="preserve">these new controls </w:t>
      </w:r>
      <w:r>
        <w:rPr>
          <w:rFonts w:ascii="Verdana" w:eastAsiaTheme="minorHAnsi" w:hAnsi="Verdana" w:cstheme="minorBidi"/>
          <w:color w:val="auto"/>
          <w:sz w:val="22"/>
          <w:szCs w:val="22"/>
        </w:rPr>
        <w:t xml:space="preserve">had on </w:t>
      </w:r>
      <w:r w:rsidRPr="0007424C">
        <w:rPr>
          <w:rFonts w:ascii="Verdana" w:eastAsiaTheme="minorHAnsi" w:hAnsi="Verdana" w:cstheme="minorBidi"/>
          <w:color w:val="auto"/>
          <w:sz w:val="22"/>
          <w:szCs w:val="22"/>
        </w:rPr>
        <w:t xml:space="preserve">incidents. </w:t>
      </w:r>
      <w:r>
        <w:rPr>
          <w:rFonts w:ascii="Verdana" w:eastAsiaTheme="minorHAnsi" w:hAnsi="Verdana" w:cstheme="minorBidi"/>
          <w:color w:val="auto"/>
          <w:sz w:val="22"/>
          <w:szCs w:val="22"/>
        </w:rPr>
        <w:t>While the risk of being compromised by a critical exploit increased, the new controls allowed the number of incidents to remain steady. I</w:t>
      </w:r>
      <w:r w:rsidRPr="0007424C">
        <w:rPr>
          <w:rFonts w:ascii="Verdana" w:eastAsiaTheme="minorHAnsi" w:hAnsi="Verdana" w:cstheme="minorBidi"/>
          <w:color w:val="auto"/>
          <w:sz w:val="22"/>
          <w:szCs w:val="22"/>
        </w:rPr>
        <w:t>n order to continue to protect the environment from these risks it is important that critical exploits are patched as soon as possible after appropriate testing.</w:t>
      </w:r>
    </w:p>
    <w:p w14:paraId="4D122BC5" w14:textId="77777777" w:rsidR="00EF4FC6" w:rsidRPr="0007424C" w:rsidRDefault="00EF4FC6" w:rsidP="00EF4FC6">
      <w:pPr>
        <w:spacing w:after="200"/>
        <w:contextualSpacing/>
        <w:rPr>
          <w:rFonts w:ascii="Verdana" w:eastAsiaTheme="minorHAnsi" w:hAnsi="Verdana" w:cstheme="minorBidi"/>
          <w:color w:val="auto"/>
          <w:sz w:val="22"/>
          <w:szCs w:val="22"/>
        </w:rPr>
      </w:pPr>
    </w:p>
    <w:p w14:paraId="4D25FC3B" w14:textId="77777777" w:rsidR="00EF4FC6" w:rsidRPr="0007424C" w:rsidRDefault="00EF4FC6" w:rsidP="00EF4FC6">
      <w:pPr>
        <w:spacing w:after="200"/>
        <w:rPr>
          <w:rFonts w:ascii="Verdana" w:eastAsiaTheme="minorHAnsi" w:hAnsi="Verdana" w:cstheme="minorBidi"/>
          <w:color w:val="auto"/>
          <w:sz w:val="22"/>
          <w:szCs w:val="22"/>
        </w:rPr>
      </w:pPr>
      <w:r w:rsidRPr="0007424C">
        <w:rPr>
          <w:rFonts w:ascii="Verdana" w:eastAsiaTheme="minorHAnsi" w:hAnsi="Verdana" w:cstheme="minorBidi"/>
          <w:noProof/>
          <w:color w:val="auto"/>
          <w:sz w:val="22"/>
          <w:szCs w:val="22"/>
        </w:rPr>
        <w:drawing>
          <wp:inline distT="0" distB="0" distL="0" distR="0" wp14:anchorId="06541109" wp14:editId="621E310D">
            <wp:extent cx="6219825" cy="2524125"/>
            <wp:effectExtent l="0" t="0" r="0" b="0"/>
            <wp:docPr id="681" name="Chart 6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54A5134" w14:textId="77777777" w:rsidR="00EF4FC6" w:rsidRPr="0007424C" w:rsidRDefault="00EF4FC6" w:rsidP="00EF4FC6">
      <w:pPr>
        <w:contextualSpacing/>
        <w:rPr>
          <w:rFonts w:ascii="Verdana" w:eastAsiaTheme="minorHAnsi" w:hAnsi="Verdana" w:cstheme="minorBidi"/>
          <w:b/>
          <w:color w:val="auto"/>
          <w:sz w:val="22"/>
          <w:szCs w:val="22"/>
        </w:rPr>
      </w:pPr>
    </w:p>
    <w:p w14:paraId="4F1A15B3" w14:textId="44A991EE" w:rsidR="00EF4FC6" w:rsidRPr="004A76A0" w:rsidRDefault="00EF4FC6" w:rsidP="004A76A0">
      <w:pPr>
        <w:pStyle w:val="Heading2"/>
        <w:rPr>
          <w:rFonts w:eastAsiaTheme="minorHAnsi"/>
          <w:sz w:val="22"/>
        </w:rPr>
      </w:pPr>
      <w:bookmarkStart w:id="9" w:name="_Toc14262272"/>
      <w:r w:rsidRPr="004A76A0">
        <w:rPr>
          <w:rFonts w:eastAsiaTheme="minorHAnsi"/>
          <w:sz w:val="22"/>
        </w:rPr>
        <w:t xml:space="preserve">Cyber </w:t>
      </w:r>
      <w:r w:rsidR="00493158">
        <w:rPr>
          <w:rFonts w:eastAsiaTheme="minorHAnsi"/>
          <w:sz w:val="22"/>
        </w:rPr>
        <w:t>i</w:t>
      </w:r>
      <w:r w:rsidRPr="004A76A0">
        <w:rPr>
          <w:rFonts w:eastAsiaTheme="minorHAnsi"/>
          <w:sz w:val="22"/>
        </w:rPr>
        <w:t xml:space="preserve">ntelligence from </w:t>
      </w:r>
      <w:r w:rsidR="00493158">
        <w:rPr>
          <w:rFonts w:eastAsiaTheme="minorHAnsi"/>
          <w:sz w:val="22"/>
        </w:rPr>
        <w:t>c</w:t>
      </w:r>
      <w:r w:rsidRPr="004A76A0">
        <w:rPr>
          <w:rFonts w:eastAsiaTheme="minorHAnsi"/>
          <w:sz w:val="22"/>
        </w:rPr>
        <w:t xml:space="preserve">ommonwealth </w:t>
      </w:r>
      <w:r w:rsidR="00493158">
        <w:rPr>
          <w:rFonts w:eastAsiaTheme="minorHAnsi"/>
          <w:sz w:val="22"/>
        </w:rPr>
        <w:t>p</w:t>
      </w:r>
      <w:r w:rsidRPr="004A76A0">
        <w:rPr>
          <w:rFonts w:eastAsiaTheme="minorHAnsi"/>
          <w:sz w:val="22"/>
        </w:rPr>
        <w:t>artners</w:t>
      </w:r>
      <w:bookmarkEnd w:id="9"/>
    </w:p>
    <w:p w14:paraId="36BF5DC1" w14:textId="019B291E" w:rsidR="00EF4FC6" w:rsidRPr="0007424C" w:rsidRDefault="00EF4FC6" w:rsidP="00EF4FC6">
      <w:pPr>
        <w:contextualSpacing/>
        <w:rPr>
          <w:rFonts w:ascii="Verdana" w:eastAsiaTheme="minorHAnsi" w:hAnsi="Verdana" w:cstheme="minorBidi"/>
          <w:color w:val="auto"/>
          <w:sz w:val="22"/>
          <w:szCs w:val="22"/>
        </w:rPr>
      </w:pPr>
      <w:r w:rsidRPr="0007424C">
        <w:rPr>
          <w:rFonts w:ascii="Verdana" w:eastAsiaTheme="minorHAnsi" w:hAnsi="Verdana" w:cstheme="minorBidi"/>
          <w:color w:val="auto"/>
          <w:sz w:val="22"/>
          <w:szCs w:val="22"/>
        </w:rPr>
        <w:t>The information received from commonwealth partners includes data involving state and local governments, higher education and public schools systems. The majority of the data is reported by MS-ISAC as potential events that they have monitored on the internet. CSRM disseminates the alerts to the affected entities and tracks them as investigations, since the results of the alert are unknown. In 2018, the commonwealth completed 400 investigations for the 2,925 alerts that were received. This was a 65</w:t>
      </w:r>
      <w:r w:rsidR="00493158">
        <w:rPr>
          <w:rFonts w:ascii="Verdana" w:eastAsiaTheme="minorHAnsi" w:hAnsi="Verdana" w:cstheme="minorBidi"/>
          <w:color w:val="auto"/>
          <w:sz w:val="22"/>
          <w:szCs w:val="22"/>
        </w:rPr>
        <w:t>%</w:t>
      </w:r>
      <w:r w:rsidRPr="0007424C">
        <w:rPr>
          <w:rFonts w:ascii="Verdana" w:eastAsiaTheme="minorHAnsi" w:hAnsi="Verdana" w:cstheme="minorBidi"/>
          <w:color w:val="auto"/>
          <w:sz w:val="22"/>
          <w:szCs w:val="22"/>
        </w:rPr>
        <w:t xml:space="preserve"> increase from 2017. The following chart shows the percentage of investigations by type of entity.</w:t>
      </w:r>
    </w:p>
    <w:p w14:paraId="667C73E7" w14:textId="77777777" w:rsidR="00EF4FC6" w:rsidRPr="0007424C" w:rsidRDefault="00EF4FC6" w:rsidP="00EF4FC6">
      <w:pPr>
        <w:ind w:right="720"/>
        <w:rPr>
          <w:rFonts w:ascii="Verdana" w:eastAsiaTheme="minorHAnsi" w:hAnsi="Verdana" w:cstheme="minorBidi"/>
          <w:color w:val="auto"/>
          <w:sz w:val="22"/>
          <w:szCs w:val="22"/>
          <w:highlight w:val="yellow"/>
        </w:rPr>
      </w:pPr>
    </w:p>
    <w:p w14:paraId="4F774700" w14:textId="77777777" w:rsidR="00EF4FC6" w:rsidRPr="0007424C" w:rsidRDefault="00EF4FC6" w:rsidP="00EF4FC6">
      <w:pPr>
        <w:ind w:right="720"/>
        <w:rPr>
          <w:rFonts w:ascii="Verdana" w:eastAsiaTheme="minorHAnsi" w:hAnsi="Verdana" w:cstheme="minorBidi"/>
          <w:color w:val="auto"/>
          <w:sz w:val="22"/>
          <w:szCs w:val="22"/>
          <w:highlight w:val="yellow"/>
        </w:rPr>
      </w:pPr>
      <w:r w:rsidRPr="0007424C">
        <w:rPr>
          <w:rFonts w:ascii="Verdana" w:eastAsiaTheme="minorHAnsi" w:hAnsi="Verdana" w:cstheme="minorBidi"/>
          <w:noProof/>
          <w:color w:val="auto"/>
          <w:sz w:val="22"/>
          <w:szCs w:val="22"/>
        </w:rPr>
        <w:drawing>
          <wp:inline distT="0" distB="0" distL="0" distR="0" wp14:anchorId="3B4CB510" wp14:editId="08CAEB87">
            <wp:extent cx="5905500" cy="2657475"/>
            <wp:effectExtent l="0" t="0" r="0" b="9525"/>
            <wp:docPr id="682" name="Chart 6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DEB9BED" w14:textId="77777777" w:rsidR="00EF4FC6" w:rsidRPr="0007424C" w:rsidRDefault="00EF4FC6" w:rsidP="00EF4FC6">
      <w:pPr>
        <w:ind w:right="720"/>
        <w:rPr>
          <w:rFonts w:ascii="Verdana" w:eastAsiaTheme="minorHAnsi" w:hAnsi="Verdana" w:cstheme="minorBidi"/>
          <w:color w:val="auto"/>
          <w:sz w:val="22"/>
          <w:szCs w:val="22"/>
          <w:highlight w:val="yellow"/>
        </w:rPr>
      </w:pPr>
    </w:p>
    <w:p w14:paraId="5AD61E1A" w14:textId="77777777" w:rsidR="00AA3D2C" w:rsidRDefault="00EF4FC6" w:rsidP="00EF4FC6">
      <w:pPr>
        <w:rPr>
          <w:rFonts w:ascii="Verdana" w:hAnsi="Verdana"/>
          <w:b/>
          <w:sz w:val="22"/>
          <w:szCs w:val="22"/>
        </w:rPr>
      </w:pPr>
      <w:r w:rsidRPr="0007424C">
        <w:rPr>
          <w:rFonts w:ascii="Verdana" w:hAnsi="Verdana"/>
          <w:b/>
          <w:sz w:val="22"/>
          <w:szCs w:val="22"/>
        </w:rPr>
        <w:t>Cyberattacks against Virginia’s educational system has expanded to include public schools systems.</w:t>
      </w:r>
      <w:r w:rsidR="00AA3D2C">
        <w:rPr>
          <w:rFonts w:ascii="Verdana" w:hAnsi="Verdana"/>
          <w:b/>
          <w:sz w:val="22"/>
          <w:szCs w:val="22"/>
        </w:rPr>
        <w:t xml:space="preserve">  </w:t>
      </w:r>
    </w:p>
    <w:p w14:paraId="3D4B23AC" w14:textId="29BC8236" w:rsidR="00EF4FC6" w:rsidRPr="0007424C" w:rsidRDefault="00EF4FC6" w:rsidP="00EF4FC6">
      <w:pPr>
        <w:rPr>
          <w:rFonts w:ascii="Verdana" w:hAnsi="Verdana"/>
          <w:sz w:val="22"/>
          <w:szCs w:val="22"/>
        </w:rPr>
      </w:pPr>
      <w:r w:rsidRPr="0007424C">
        <w:rPr>
          <w:rFonts w:ascii="Verdana" w:hAnsi="Verdana"/>
          <w:sz w:val="22"/>
          <w:szCs w:val="22"/>
        </w:rPr>
        <w:t>During 2018, we saw an increase</w:t>
      </w:r>
      <w:r>
        <w:rPr>
          <w:rFonts w:ascii="Verdana" w:hAnsi="Verdana"/>
          <w:sz w:val="22"/>
          <w:szCs w:val="22"/>
        </w:rPr>
        <w:t xml:space="preserve"> in the number of public school</w:t>
      </w:r>
      <w:r w:rsidRPr="0007424C">
        <w:rPr>
          <w:rFonts w:ascii="Verdana" w:hAnsi="Verdana"/>
          <w:sz w:val="22"/>
          <w:szCs w:val="22"/>
        </w:rPr>
        <w:t xml:space="preserve"> systems </w:t>
      </w:r>
      <w:r>
        <w:rPr>
          <w:rFonts w:ascii="Verdana" w:hAnsi="Verdana"/>
          <w:sz w:val="22"/>
          <w:szCs w:val="22"/>
        </w:rPr>
        <w:t>targeted</w:t>
      </w:r>
      <w:r w:rsidRPr="0007424C">
        <w:rPr>
          <w:rFonts w:ascii="Verdana" w:hAnsi="Verdana"/>
          <w:sz w:val="22"/>
          <w:szCs w:val="22"/>
        </w:rPr>
        <w:t xml:space="preserve"> by cyber criminals. As public schools introduce information technology into the classroom, their threat landscape expands.  The most significant change was in </w:t>
      </w:r>
      <w:r>
        <w:rPr>
          <w:rFonts w:ascii="Verdana" w:hAnsi="Verdana"/>
          <w:sz w:val="22"/>
          <w:szCs w:val="22"/>
        </w:rPr>
        <w:t>the exposure of</w:t>
      </w:r>
      <w:r w:rsidRPr="0007424C">
        <w:rPr>
          <w:rFonts w:ascii="Verdana" w:hAnsi="Verdana"/>
          <w:sz w:val="22"/>
          <w:szCs w:val="22"/>
        </w:rPr>
        <w:t xml:space="preserve"> public education credentials harvested</w:t>
      </w:r>
      <w:r>
        <w:rPr>
          <w:rFonts w:ascii="Verdana" w:hAnsi="Verdana"/>
          <w:sz w:val="22"/>
          <w:szCs w:val="22"/>
        </w:rPr>
        <w:t xml:space="preserve"> by hackers</w:t>
      </w:r>
      <w:r w:rsidRPr="0007424C">
        <w:rPr>
          <w:rFonts w:ascii="Verdana" w:hAnsi="Verdana"/>
          <w:sz w:val="22"/>
          <w:szCs w:val="22"/>
        </w:rPr>
        <w:t xml:space="preserve">. The number of exposed credentials </w:t>
      </w:r>
      <w:r>
        <w:rPr>
          <w:rFonts w:ascii="Verdana" w:hAnsi="Verdana"/>
          <w:sz w:val="22"/>
          <w:szCs w:val="22"/>
        </w:rPr>
        <w:t>increased from 23 in 2017 to 311 in 2018.</w:t>
      </w:r>
      <w:r w:rsidRPr="0007424C">
        <w:rPr>
          <w:rFonts w:ascii="Verdana" w:hAnsi="Verdana"/>
          <w:sz w:val="22"/>
          <w:szCs w:val="22"/>
        </w:rPr>
        <w:t xml:space="preserve"> </w:t>
      </w:r>
      <w:r>
        <w:rPr>
          <w:rFonts w:ascii="Verdana" w:hAnsi="Verdana"/>
          <w:sz w:val="22"/>
          <w:szCs w:val="22"/>
        </w:rPr>
        <w:t>Since</w:t>
      </w:r>
      <w:r w:rsidRPr="0007424C">
        <w:rPr>
          <w:rFonts w:ascii="Verdana" w:hAnsi="Verdana"/>
          <w:sz w:val="22"/>
          <w:szCs w:val="22"/>
        </w:rPr>
        <w:t xml:space="preserve"> public education is </w:t>
      </w:r>
      <w:r>
        <w:rPr>
          <w:rFonts w:ascii="Verdana" w:hAnsi="Verdana"/>
          <w:sz w:val="22"/>
          <w:szCs w:val="22"/>
        </w:rPr>
        <w:t>so</w:t>
      </w:r>
      <w:r w:rsidRPr="0007424C">
        <w:rPr>
          <w:rFonts w:ascii="Verdana" w:hAnsi="Verdana"/>
          <w:sz w:val="22"/>
          <w:szCs w:val="22"/>
        </w:rPr>
        <w:t xml:space="preserve"> heavily targeted</w:t>
      </w:r>
      <w:r>
        <w:rPr>
          <w:rFonts w:ascii="Verdana" w:hAnsi="Verdana"/>
          <w:sz w:val="22"/>
          <w:szCs w:val="22"/>
        </w:rPr>
        <w:t>,</w:t>
      </w:r>
      <w:r w:rsidRPr="0007424C">
        <w:rPr>
          <w:rFonts w:ascii="Verdana" w:hAnsi="Verdana"/>
          <w:sz w:val="22"/>
          <w:szCs w:val="22"/>
        </w:rPr>
        <w:t xml:space="preserve"> we recommend that public school systems implement an </w:t>
      </w:r>
      <w:r w:rsidR="00493158">
        <w:rPr>
          <w:rFonts w:ascii="Verdana" w:hAnsi="Verdana"/>
          <w:sz w:val="22"/>
          <w:szCs w:val="22"/>
        </w:rPr>
        <w:t>i</w:t>
      </w:r>
      <w:r w:rsidRPr="0007424C">
        <w:rPr>
          <w:rFonts w:ascii="Verdana" w:hAnsi="Verdana"/>
          <w:sz w:val="22"/>
          <w:szCs w:val="22"/>
        </w:rPr>
        <w:t xml:space="preserve">nformation </w:t>
      </w:r>
      <w:r w:rsidR="00493158">
        <w:rPr>
          <w:rFonts w:ascii="Verdana" w:hAnsi="Verdana"/>
          <w:sz w:val="22"/>
          <w:szCs w:val="22"/>
        </w:rPr>
        <w:t>s</w:t>
      </w:r>
      <w:r w:rsidRPr="0007424C">
        <w:rPr>
          <w:rFonts w:ascii="Verdana" w:hAnsi="Verdana"/>
          <w:sz w:val="22"/>
          <w:szCs w:val="22"/>
        </w:rPr>
        <w:t xml:space="preserve">ecurity </w:t>
      </w:r>
      <w:r w:rsidR="00493158">
        <w:rPr>
          <w:rFonts w:ascii="Verdana" w:hAnsi="Verdana"/>
          <w:sz w:val="22"/>
          <w:szCs w:val="22"/>
        </w:rPr>
        <w:t>p</w:t>
      </w:r>
      <w:r w:rsidRPr="0007424C">
        <w:rPr>
          <w:rFonts w:ascii="Verdana" w:hAnsi="Verdana"/>
          <w:sz w:val="22"/>
          <w:szCs w:val="22"/>
        </w:rPr>
        <w:t>rogram that not only incorporates cybersecurity awareness training</w:t>
      </w:r>
      <w:r w:rsidR="008D31D8">
        <w:rPr>
          <w:rFonts w:ascii="Verdana" w:hAnsi="Verdana"/>
          <w:sz w:val="22"/>
          <w:szCs w:val="22"/>
        </w:rPr>
        <w:t>,</w:t>
      </w:r>
      <w:r w:rsidRPr="0007424C">
        <w:rPr>
          <w:rFonts w:ascii="Verdana" w:hAnsi="Verdana"/>
          <w:sz w:val="22"/>
          <w:szCs w:val="22"/>
        </w:rPr>
        <w:t xml:space="preserve"> but also i</w:t>
      </w:r>
      <w:r w:rsidR="008D31D8">
        <w:rPr>
          <w:rFonts w:ascii="Verdana" w:hAnsi="Verdana"/>
          <w:sz w:val="22"/>
          <w:szCs w:val="22"/>
        </w:rPr>
        <w:t>nclude</w:t>
      </w:r>
      <w:r w:rsidRPr="0007424C">
        <w:rPr>
          <w:rFonts w:ascii="Verdana" w:hAnsi="Verdana"/>
          <w:sz w:val="22"/>
          <w:szCs w:val="22"/>
        </w:rPr>
        <w:t>s security controls to protect sensitive data from attack.</w:t>
      </w:r>
    </w:p>
    <w:p w14:paraId="06A44652" w14:textId="77777777" w:rsidR="00EF4FC6" w:rsidRPr="0007424C" w:rsidRDefault="00EF4FC6" w:rsidP="00EF4FC6">
      <w:pPr>
        <w:rPr>
          <w:rFonts w:ascii="Verdana" w:hAnsi="Verdana"/>
          <w:sz w:val="22"/>
          <w:szCs w:val="22"/>
        </w:rPr>
      </w:pPr>
    </w:p>
    <w:p w14:paraId="672A5A2E" w14:textId="53A2EFF9" w:rsidR="00EF4FC6" w:rsidRPr="0007424C" w:rsidRDefault="00EF4FC6" w:rsidP="00EF4FC6">
      <w:pPr>
        <w:rPr>
          <w:rFonts w:ascii="Verdana" w:hAnsi="Verdana"/>
          <w:sz w:val="22"/>
          <w:szCs w:val="22"/>
        </w:rPr>
      </w:pPr>
      <w:r>
        <w:rPr>
          <w:rFonts w:ascii="Verdana" w:hAnsi="Verdana"/>
          <w:sz w:val="22"/>
          <w:szCs w:val="22"/>
        </w:rPr>
        <w:t xml:space="preserve">During 2018 </w:t>
      </w:r>
      <w:r w:rsidRPr="0007424C">
        <w:rPr>
          <w:rFonts w:ascii="Verdana" w:hAnsi="Verdana"/>
          <w:sz w:val="22"/>
          <w:szCs w:val="22"/>
        </w:rPr>
        <w:t>Virginia colleges and universities continue</w:t>
      </w:r>
      <w:r w:rsidR="00493158">
        <w:rPr>
          <w:rFonts w:ascii="Verdana" w:hAnsi="Verdana"/>
          <w:sz w:val="22"/>
          <w:szCs w:val="22"/>
        </w:rPr>
        <w:t>d</w:t>
      </w:r>
      <w:r w:rsidRPr="0007424C">
        <w:rPr>
          <w:rFonts w:ascii="Verdana" w:hAnsi="Verdana"/>
          <w:sz w:val="22"/>
          <w:szCs w:val="22"/>
        </w:rPr>
        <w:t xml:space="preserve"> to be at a significant risk</w:t>
      </w:r>
      <w:r w:rsidR="008D31D8">
        <w:rPr>
          <w:rFonts w:ascii="Verdana" w:hAnsi="Verdana"/>
          <w:sz w:val="22"/>
          <w:szCs w:val="22"/>
        </w:rPr>
        <w:t xml:space="preserve"> for attack</w:t>
      </w:r>
      <w:r w:rsidRPr="0007424C">
        <w:rPr>
          <w:rFonts w:ascii="Verdana" w:hAnsi="Verdana"/>
          <w:sz w:val="22"/>
          <w:szCs w:val="22"/>
        </w:rPr>
        <w:t xml:space="preserve">.   </w:t>
      </w:r>
      <w:r>
        <w:rPr>
          <w:rFonts w:ascii="Verdana" w:hAnsi="Verdana"/>
          <w:sz w:val="22"/>
          <w:szCs w:val="22"/>
        </w:rPr>
        <w:t>Last year t</w:t>
      </w:r>
      <w:r w:rsidRPr="0007424C">
        <w:rPr>
          <w:rFonts w:ascii="Verdana" w:hAnsi="Verdana"/>
          <w:sz w:val="22"/>
          <w:szCs w:val="22"/>
        </w:rPr>
        <w:t>hese entities lead in the number of cyberattacks launch</w:t>
      </w:r>
      <w:r>
        <w:rPr>
          <w:rFonts w:ascii="Verdana" w:hAnsi="Verdana"/>
          <w:sz w:val="22"/>
          <w:szCs w:val="22"/>
        </w:rPr>
        <w:t>ed</w:t>
      </w:r>
      <w:r w:rsidRPr="0007424C">
        <w:rPr>
          <w:rFonts w:ascii="Verdana" w:hAnsi="Verdana"/>
          <w:sz w:val="22"/>
          <w:szCs w:val="22"/>
        </w:rPr>
        <w:t xml:space="preserve"> against them, number of software vulnerabilities on internet</w:t>
      </w:r>
      <w:r w:rsidR="00493158">
        <w:rPr>
          <w:rFonts w:ascii="Verdana" w:hAnsi="Verdana"/>
          <w:sz w:val="22"/>
          <w:szCs w:val="22"/>
        </w:rPr>
        <w:t>-</w:t>
      </w:r>
      <w:r w:rsidRPr="0007424C">
        <w:rPr>
          <w:rFonts w:ascii="Verdana" w:hAnsi="Verdana"/>
          <w:sz w:val="22"/>
          <w:szCs w:val="22"/>
        </w:rPr>
        <w:t>facing systems and took second place for the number of accounts compromised and the number of malware infections detected. While the raw number for compromised accounts and malware infections decreased in 2018, there was an increase in the number of reported cyberattacks and software vulnerabilities. When an internet</w:t>
      </w:r>
      <w:r w:rsidR="00493158">
        <w:rPr>
          <w:rFonts w:ascii="Verdana" w:hAnsi="Verdana"/>
          <w:sz w:val="22"/>
          <w:szCs w:val="22"/>
        </w:rPr>
        <w:t>-</w:t>
      </w:r>
      <w:r w:rsidRPr="0007424C">
        <w:rPr>
          <w:rFonts w:ascii="Verdana" w:hAnsi="Verdana"/>
          <w:sz w:val="22"/>
          <w:szCs w:val="22"/>
        </w:rPr>
        <w:t>facing system has known software vulnerabilities, attackers look for ways to exploit these vulnerabilities to do damage to systems. Some of the methods are to deface a web page, while others look at gaining and maintaining access to those systems so they can steal valuable data. As the number of software vulnerabilities has increased, it appears that higher education may be experiencing issues with keeping software up-to-date and resolving these vulnerabilities on their system. In light of this, we continue to recommend additional guidance for these institutions. It is important to ensure that appropriate governance is established</w:t>
      </w:r>
      <w:r>
        <w:rPr>
          <w:rFonts w:ascii="Verdana" w:hAnsi="Verdana"/>
          <w:sz w:val="22"/>
          <w:szCs w:val="22"/>
        </w:rPr>
        <w:t>, a centralized reporting effort is developed</w:t>
      </w:r>
      <w:r w:rsidRPr="0007424C">
        <w:rPr>
          <w:rFonts w:ascii="Verdana" w:hAnsi="Verdana"/>
          <w:sz w:val="22"/>
          <w:szCs w:val="22"/>
        </w:rPr>
        <w:t xml:space="preserve"> and effective information security programs are implemented in higher education.</w:t>
      </w:r>
    </w:p>
    <w:p w14:paraId="5ED27EDC" w14:textId="77777777" w:rsidR="00EF4FC6" w:rsidRPr="0007424C" w:rsidRDefault="00EF4FC6" w:rsidP="00EF4FC6">
      <w:pPr>
        <w:rPr>
          <w:rFonts w:ascii="Verdana" w:hAnsi="Verdana"/>
          <w:sz w:val="22"/>
          <w:szCs w:val="22"/>
        </w:rPr>
      </w:pPr>
    </w:p>
    <w:p w14:paraId="4C59AA31" w14:textId="21886978" w:rsidR="00EF4FC6" w:rsidRPr="0007424C" w:rsidRDefault="00EF4FC6" w:rsidP="00EF4FC6">
      <w:pPr>
        <w:rPr>
          <w:rFonts w:ascii="Verdana" w:hAnsi="Verdana"/>
          <w:sz w:val="22"/>
          <w:szCs w:val="22"/>
        </w:rPr>
      </w:pPr>
      <w:r w:rsidRPr="0007424C">
        <w:rPr>
          <w:rFonts w:ascii="Verdana" w:hAnsi="Verdana"/>
          <w:sz w:val="22"/>
          <w:szCs w:val="22"/>
        </w:rPr>
        <w:t xml:space="preserve">The below table summarizes the data we received from MS-ISAC during 2018. </w:t>
      </w:r>
      <w:r>
        <w:rPr>
          <w:rFonts w:ascii="Verdana" w:hAnsi="Verdana"/>
          <w:sz w:val="22"/>
          <w:szCs w:val="22"/>
        </w:rPr>
        <w:t xml:space="preserve">MS-ISAC is an organization that is comprised of state government, local government, tribal territories, </w:t>
      </w:r>
      <w:r w:rsidR="00493158">
        <w:rPr>
          <w:rFonts w:ascii="Verdana" w:hAnsi="Verdana"/>
          <w:sz w:val="22"/>
          <w:szCs w:val="22"/>
        </w:rPr>
        <w:t>elections agencies</w:t>
      </w:r>
      <w:r>
        <w:rPr>
          <w:rFonts w:ascii="Verdana" w:hAnsi="Verdana"/>
          <w:sz w:val="22"/>
          <w:szCs w:val="22"/>
        </w:rPr>
        <w:t xml:space="preserve">, </w:t>
      </w:r>
      <w:r w:rsidR="00493158">
        <w:rPr>
          <w:rFonts w:ascii="Verdana" w:hAnsi="Verdana"/>
          <w:sz w:val="22"/>
          <w:szCs w:val="22"/>
        </w:rPr>
        <w:t>f</w:t>
      </w:r>
      <w:r>
        <w:rPr>
          <w:rFonts w:ascii="Verdana" w:hAnsi="Verdana"/>
          <w:sz w:val="22"/>
          <w:szCs w:val="22"/>
        </w:rPr>
        <w:t xml:space="preserve">usion </w:t>
      </w:r>
      <w:r w:rsidR="00493158">
        <w:rPr>
          <w:rFonts w:ascii="Verdana" w:hAnsi="Verdana"/>
          <w:sz w:val="22"/>
          <w:szCs w:val="22"/>
        </w:rPr>
        <w:t>c</w:t>
      </w:r>
      <w:r>
        <w:rPr>
          <w:rFonts w:ascii="Verdana" w:hAnsi="Verdana"/>
          <w:sz w:val="22"/>
          <w:szCs w:val="22"/>
        </w:rPr>
        <w:t xml:space="preserve">enters and institutions of education. They monitor the intelligence community and the internet for attacks against their members. </w:t>
      </w:r>
      <w:r w:rsidRPr="0007424C">
        <w:rPr>
          <w:rFonts w:ascii="Verdana" w:hAnsi="Verdana"/>
          <w:sz w:val="22"/>
          <w:szCs w:val="22"/>
        </w:rPr>
        <w:t>As this data only contained alerts that we</w:t>
      </w:r>
      <w:r>
        <w:rPr>
          <w:rFonts w:ascii="Verdana" w:hAnsi="Verdana"/>
          <w:sz w:val="22"/>
          <w:szCs w:val="22"/>
        </w:rPr>
        <w:t>re</w:t>
      </w:r>
      <w:r w:rsidRPr="0007424C">
        <w:rPr>
          <w:rFonts w:ascii="Verdana" w:hAnsi="Verdana"/>
          <w:sz w:val="22"/>
          <w:szCs w:val="22"/>
        </w:rPr>
        <w:t xml:space="preserve"> identified by the MS-ISAC, the potential of additional data loss is possible.</w:t>
      </w:r>
    </w:p>
    <w:p w14:paraId="26E305B3" w14:textId="77777777" w:rsidR="00EF4FC6" w:rsidRPr="004A76A0" w:rsidRDefault="00EF4FC6" w:rsidP="004A76A0">
      <w:pPr>
        <w:pStyle w:val="Heading2"/>
        <w:rPr>
          <w:sz w:val="22"/>
        </w:rPr>
      </w:pPr>
      <w:bookmarkStart w:id="10" w:name="_Toc14262273"/>
      <w:r w:rsidRPr="004A76A0">
        <w:rPr>
          <w:sz w:val="22"/>
        </w:rPr>
        <w:t>Security investigations by category</w:t>
      </w:r>
      <w:bookmarkEnd w:id="10"/>
    </w:p>
    <w:tbl>
      <w:tblPr>
        <w:tblStyle w:val="MediumGrid1-Accent51"/>
        <w:tblW w:w="0" w:type="auto"/>
        <w:tblLook w:val="04A0" w:firstRow="1" w:lastRow="0" w:firstColumn="1" w:lastColumn="0" w:noHBand="0" w:noVBand="1"/>
      </w:tblPr>
      <w:tblGrid>
        <w:gridCol w:w="4520"/>
        <w:gridCol w:w="1718"/>
        <w:gridCol w:w="1644"/>
        <w:gridCol w:w="1567"/>
        <w:gridCol w:w="1567"/>
      </w:tblGrid>
      <w:tr w:rsidR="00EF4FC6" w:rsidRPr="0007424C" w14:paraId="00AF0F7E" w14:textId="77777777" w:rsidTr="00637027">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5E6D14" w14:textId="77777777" w:rsidR="00EF4FC6" w:rsidRPr="0007424C" w:rsidRDefault="00EF4FC6" w:rsidP="00637027">
            <w:pPr>
              <w:jc w:val="center"/>
              <w:rPr>
                <w:rFonts w:ascii="Verdana" w:hAnsi="Verdana" w:cs="Calibri"/>
                <w:sz w:val="21"/>
                <w:szCs w:val="21"/>
              </w:rPr>
            </w:pPr>
          </w:p>
        </w:tc>
        <w:tc>
          <w:tcPr>
            <w:tcW w:w="1718" w:type="dxa"/>
            <w:vAlign w:val="center"/>
            <w:hideMark/>
          </w:tcPr>
          <w:p w14:paraId="378B9C4A" w14:textId="77777777" w:rsidR="00EF4FC6" w:rsidRPr="0007424C" w:rsidRDefault="00EF4FC6" w:rsidP="00637027">
            <w:pPr>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Higher education</w:t>
            </w:r>
          </w:p>
        </w:tc>
        <w:tc>
          <w:tcPr>
            <w:tcW w:w="1415" w:type="dxa"/>
            <w:vAlign w:val="center"/>
            <w:hideMark/>
          </w:tcPr>
          <w:p w14:paraId="01F79EAD" w14:textId="77777777" w:rsidR="00EF4FC6" w:rsidRPr="0007424C" w:rsidRDefault="00EF4FC6" w:rsidP="00637027">
            <w:pPr>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Local government</w:t>
            </w:r>
          </w:p>
        </w:tc>
        <w:tc>
          <w:tcPr>
            <w:tcW w:w="1567" w:type="dxa"/>
            <w:vAlign w:val="center"/>
            <w:hideMark/>
          </w:tcPr>
          <w:p w14:paraId="138EF385" w14:textId="77777777" w:rsidR="00EF4FC6" w:rsidRPr="0007424C" w:rsidRDefault="00EF4FC6" w:rsidP="00637027">
            <w:pPr>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Public school systems</w:t>
            </w:r>
          </w:p>
        </w:tc>
        <w:tc>
          <w:tcPr>
            <w:tcW w:w="1567" w:type="dxa"/>
            <w:vAlign w:val="center"/>
            <w:hideMark/>
          </w:tcPr>
          <w:p w14:paraId="6E20F049" w14:textId="77777777" w:rsidR="00EF4FC6" w:rsidRPr="0007424C" w:rsidRDefault="00EF4FC6" w:rsidP="00637027">
            <w:pPr>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COV agencies</w:t>
            </w:r>
          </w:p>
        </w:tc>
      </w:tr>
      <w:tr w:rsidR="00EF4FC6" w:rsidRPr="0007424C" w14:paraId="1FFE18B8" w14:textId="77777777" w:rsidTr="0063702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6F208B3" w14:textId="77777777" w:rsidR="00EF4FC6" w:rsidRPr="0007424C" w:rsidRDefault="00EF4FC6" w:rsidP="00637027">
            <w:pPr>
              <w:rPr>
                <w:rFonts w:ascii="Verdana" w:hAnsi="Verdana" w:cs="Calibri"/>
                <w:sz w:val="21"/>
                <w:szCs w:val="21"/>
              </w:rPr>
            </w:pPr>
            <w:r w:rsidRPr="0007424C">
              <w:rPr>
                <w:rFonts w:ascii="Verdana" w:hAnsi="Verdana" w:cs="Calibri"/>
                <w:sz w:val="21"/>
                <w:szCs w:val="21"/>
              </w:rPr>
              <w:t>Accounts compromised</w:t>
            </w:r>
          </w:p>
        </w:tc>
        <w:tc>
          <w:tcPr>
            <w:tcW w:w="1718" w:type="dxa"/>
            <w:vAlign w:val="center"/>
            <w:hideMark/>
          </w:tcPr>
          <w:p w14:paraId="1E449026" w14:textId="77777777" w:rsidR="00EF4FC6" w:rsidRPr="0007424C" w:rsidRDefault="00EF4FC6" w:rsidP="00637027">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39%</w:t>
            </w:r>
          </w:p>
        </w:tc>
        <w:tc>
          <w:tcPr>
            <w:tcW w:w="1415" w:type="dxa"/>
            <w:vAlign w:val="center"/>
            <w:hideMark/>
          </w:tcPr>
          <w:p w14:paraId="475ACDEF" w14:textId="77777777" w:rsidR="00EF4FC6" w:rsidRPr="0007424C" w:rsidRDefault="00EF4FC6" w:rsidP="00637027">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3%</w:t>
            </w:r>
          </w:p>
        </w:tc>
        <w:tc>
          <w:tcPr>
            <w:tcW w:w="1567" w:type="dxa"/>
            <w:vAlign w:val="center"/>
            <w:hideMark/>
          </w:tcPr>
          <w:p w14:paraId="019B1249" w14:textId="77777777" w:rsidR="00EF4FC6" w:rsidRPr="0007424C" w:rsidRDefault="00EF4FC6" w:rsidP="00637027">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56%</w:t>
            </w:r>
          </w:p>
        </w:tc>
        <w:tc>
          <w:tcPr>
            <w:tcW w:w="1567" w:type="dxa"/>
            <w:vAlign w:val="center"/>
            <w:hideMark/>
          </w:tcPr>
          <w:p w14:paraId="3519206F" w14:textId="77777777" w:rsidR="00EF4FC6" w:rsidRPr="0007424C" w:rsidRDefault="00EF4FC6" w:rsidP="00637027">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2%</w:t>
            </w:r>
          </w:p>
        </w:tc>
      </w:tr>
      <w:tr w:rsidR="00EF4FC6" w:rsidRPr="0007424C" w14:paraId="66485747" w14:textId="77777777" w:rsidTr="00637027">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2071A61" w14:textId="77777777" w:rsidR="00EF4FC6" w:rsidRPr="0007424C" w:rsidRDefault="00EF4FC6" w:rsidP="00637027">
            <w:pPr>
              <w:rPr>
                <w:rFonts w:ascii="Verdana" w:hAnsi="Verdana" w:cs="Calibri"/>
                <w:sz w:val="21"/>
                <w:szCs w:val="21"/>
              </w:rPr>
            </w:pPr>
            <w:r w:rsidRPr="0007424C">
              <w:rPr>
                <w:rFonts w:ascii="Verdana" w:hAnsi="Verdana" w:cs="Calibri"/>
                <w:sz w:val="21"/>
                <w:szCs w:val="21"/>
              </w:rPr>
              <w:t>Malware infections</w:t>
            </w:r>
          </w:p>
        </w:tc>
        <w:tc>
          <w:tcPr>
            <w:tcW w:w="1718" w:type="dxa"/>
            <w:vAlign w:val="center"/>
            <w:hideMark/>
          </w:tcPr>
          <w:p w14:paraId="158BE108" w14:textId="77777777" w:rsidR="00EF4FC6" w:rsidRPr="0007424C" w:rsidRDefault="00EF4FC6" w:rsidP="00637027">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37%</w:t>
            </w:r>
          </w:p>
        </w:tc>
        <w:tc>
          <w:tcPr>
            <w:tcW w:w="1415" w:type="dxa"/>
            <w:vAlign w:val="center"/>
            <w:hideMark/>
          </w:tcPr>
          <w:p w14:paraId="3244AD46" w14:textId="5DCBF453" w:rsidR="00EF4FC6" w:rsidRPr="0007424C" w:rsidRDefault="008D31D8" w:rsidP="00637027">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1"/>
                <w:szCs w:val="21"/>
              </w:rPr>
            </w:pPr>
            <w:r>
              <w:rPr>
                <w:rFonts w:ascii="Verdana" w:hAnsi="Verdana" w:cs="Calibri"/>
                <w:sz w:val="21"/>
                <w:szCs w:val="21"/>
              </w:rPr>
              <w:t>1</w:t>
            </w:r>
            <w:r w:rsidR="00EF4FC6" w:rsidRPr="0007424C">
              <w:rPr>
                <w:rFonts w:ascii="Verdana" w:hAnsi="Verdana" w:cs="Calibri"/>
                <w:sz w:val="21"/>
                <w:szCs w:val="21"/>
              </w:rPr>
              <w:t>%</w:t>
            </w:r>
          </w:p>
        </w:tc>
        <w:tc>
          <w:tcPr>
            <w:tcW w:w="1567" w:type="dxa"/>
            <w:vAlign w:val="center"/>
            <w:hideMark/>
          </w:tcPr>
          <w:p w14:paraId="0FB82735" w14:textId="77777777" w:rsidR="00EF4FC6" w:rsidRPr="0007424C" w:rsidRDefault="00EF4FC6" w:rsidP="00637027">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1%</w:t>
            </w:r>
          </w:p>
        </w:tc>
        <w:tc>
          <w:tcPr>
            <w:tcW w:w="1567" w:type="dxa"/>
            <w:vAlign w:val="center"/>
            <w:hideMark/>
          </w:tcPr>
          <w:p w14:paraId="26C4C863" w14:textId="77777777" w:rsidR="00EF4FC6" w:rsidRPr="0007424C" w:rsidRDefault="00EF4FC6" w:rsidP="00637027">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61%</w:t>
            </w:r>
          </w:p>
        </w:tc>
      </w:tr>
      <w:tr w:rsidR="00EF4FC6" w:rsidRPr="0007424C" w14:paraId="71EE42C8" w14:textId="77777777" w:rsidTr="0063702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0492C6B" w14:textId="77777777" w:rsidR="00EF4FC6" w:rsidRPr="0007424C" w:rsidRDefault="00EF4FC6" w:rsidP="00637027">
            <w:pPr>
              <w:rPr>
                <w:rFonts w:ascii="Verdana" w:hAnsi="Verdana" w:cs="Calibri"/>
                <w:sz w:val="21"/>
                <w:szCs w:val="21"/>
              </w:rPr>
            </w:pPr>
            <w:r w:rsidRPr="0007424C">
              <w:rPr>
                <w:rFonts w:ascii="Verdana" w:hAnsi="Verdana" w:cs="Calibri"/>
                <w:sz w:val="21"/>
                <w:szCs w:val="21"/>
              </w:rPr>
              <w:t>Cyberattacks</w:t>
            </w:r>
          </w:p>
        </w:tc>
        <w:tc>
          <w:tcPr>
            <w:tcW w:w="1718" w:type="dxa"/>
            <w:vAlign w:val="center"/>
            <w:hideMark/>
          </w:tcPr>
          <w:p w14:paraId="1239AE62" w14:textId="77777777" w:rsidR="00EF4FC6" w:rsidRPr="0007424C" w:rsidRDefault="00EF4FC6" w:rsidP="00637027">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67%</w:t>
            </w:r>
          </w:p>
        </w:tc>
        <w:tc>
          <w:tcPr>
            <w:tcW w:w="1415" w:type="dxa"/>
            <w:vAlign w:val="center"/>
            <w:hideMark/>
          </w:tcPr>
          <w:p w14:paraId="49E3B135" w14:textId="7468FF99" w:rsidR="00EF4FC6" w:rsidRPr="0007424C" w:rsidRDefault="008D31D8" w:rsidP="00637027">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1"/>
                <w:szCs w:val="21"/>
              </w:rPr>
            </w:pPr>
            <w:r>
              <w:rPr>
                <w:rFonts w:ascii="Verdana" w:hAnsi="Verdana" w:cs="Calibri"/>
                <w:sz w:val="21"/>
                <w:szCs w:val="21"/>
              </w:rPr>
              <w:t>7</w:t>
            </w:r>
            <w:r w:rsidR="00EF4FC6" w:rsidRPr="0007424C">
              <w:rPr>
                <w:rFonts w:ascii="Verdana" w:hAnsi="Verdana" w:cs="Calibri"/>
                <w:sz w:val="21"/>
                <w:szCs w:val="21"/>
              </w:rPr>
              <w:t>%</w:t>
            </w:r>
          </w:p>
        </w:tc>
        <w:tc>
          <w:tcPr>
            <w:tcW w:w="1567" w:type="dxa"/>
            <w:vAlign w:val="center"/>
            <w:hideMark/>
          </w:tcPr>
          <w:p w14:paraId="3F120AAA" w14:textId="77777777" w:rsidR="00EF4FC6" w:rsidRPr="0007424C" w:rsidRDefault="00EF4FC6" w:rsidP="00637027">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13%</w:t>
            </w:r>
          </w:p>
        </w:tc>
        <w:tc>
          <w:tcPr>
            <w:tcW w:w="1567" w:type="dxa"/>
            <w:vAlign w:val="center"/>
            <w:hideMark/>
          </w:tcPr>
          <w:p w14:paraId="322FE198" w14:textId="77777777" w:rsidR="00EF4FC6" w:rsidRPr="0007424C" w:rsidRDefault="00EF4FC6" w:rsidP="00637027">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13%</w:t>
            </w:r>
          </w:p>
        </w:tc>
      </w:tr>
      <w:tr w:rsidR="00EF4FC6" w:rsidRPr="0007424C" w14:paraId="48D02F7D" w14:textId="77777777" w:rsidTr="00637027">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C84E632" w14:textId="77777777" w:rsidR="00EF4FC6" w:rsidRPr="0007424C" w:rsidRDefault="00EF4FC6" w:rsidP="00637027">
            <w:pPr>
              <w:rPr>
                <w:rFonts w:ascii="Verdana" w:hAnsi="Verdana" w:cs="Calibri"/>
                <w:sz w:val="21"/>
                <w:szCs w:val="21"/>
              </w:rPr>
            </w:pPr>
            <w:r w:rsidRPr="0007424C">
              <w:rPr>
                <w:rFonts w:ascii="Verdana" w:hAnsi="Verdana" w:cs="Calibri"/>
                <w:sz w:val="21"/>
                <w:szCs w:val="21"/>
              </w:rPr>
              <w:t xml:space="preserve">Software vulnerabilities </w:t>
            </w:r>
          </w:p>
        </w:tc>
        <w:tc>
          <w:tcPr>
            <w:tcW w:w="1718" w:type="dxa"/>
            <w:vAlign w:val="center"/>
            <w:hideMark/>
          </w:tcPr>
          <w:p w14:paraId="717FE972" w14:textId="77777777" w:rsidR="00EF4FC6" w:rsidRPr="0007424C" w:rsidRDefault="00EF4FC6" w:rsidP="00637027">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38%</w:t>
            </w:r>
          </w:p>
        </w:tc>
        <w:tc>
          <w:tcPr>
            <w:tcW w:w="1415" w:type="dxa"/>
            <w:vAlign w:val="center"/>
            <w:hideMark/>
          </w:tcPr>
          <w:p w14:paraId="532BC016" w14:textId="77777777" w:rsidR="00EF4FC6" w:rsidRPr="0007424C" w:rsidRDefault="00EF4FC6" w:rsidP="00637027">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12%</w:t>
            </w:r>
          </w:p>
        </w:tc>
        <w:tc>
          <w:tcPr>
            <w:tcW w:w="1567" w:type="dxa"/>
            <w:vAlign w:val="center"/>
            <w:hideMark/>
          </w:tcPr>
          <w:p w14:paraId="5074E7A1" w14:textId="77777777" w:rsidR="00EF4FC6" w:rsidRPr="0007424C" w:rsidRDefault="00EF4FC6" w:rsidP="00637027">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23%</w:t>
            </w:r>
          </w:p>
        </w:tc>
        <w:tc>
          <w:tcPr>
            <w:tcW w:w="1567" w:type="dxa"/>
            <w:vAlign w:val="center"/>
            <w:hideMark/>
          </w:tcPr>
          <w:p w14:paraId="2FE6EAF3" w14:textId="77777777" w:rsidR="00EF4FC6" w:rsidRPr="0007424C" w:rsidRDefault="00EF4FC6" w:rsidP="00637027">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27%</w:t>
            </w:r>
          </w:p>
        </w:tc>
      </w:tr>
      <w:tr w:rsidR="00EF4FC6" w:rsidRPr="0007424C" w14:paraId="2789E2BC" w14:textId="77777777" w:rsidTr="0063702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B6DDE8" w:themeFill="accent5" w:themeFillTint="66"/>
            <w:vAlign w:val="center"/>
          </w:tcPr>
          <w:p w14:paraId="75BAA5A0" w14:textId="77777777" w:rsidR="00EF4FC6" w:rsidRPr="0007424C" w:rsidRDefault="00EF4FC6" w:rsidP="00637027">
            <w:pPr>
              <w:jc w:val="center"/>
              <w:rPr>
                <w:rFonts w:ascii="Verdana" w:hAnsi="Verdana" w:cs="Calibri"/>
                <w:sz w:val="21"/>
                <w:szCs w:val="21"/>
              </w:rPr>
            </w:pPr>
            <w:r w:rsidRPr="0007424C">
              <w:rPr>
                <w:rFonts w:ascii="Verdana" w:hAnsi="Verdana" w:cs="Calibri"/>
                <w:sz w:val="21"/>
                <w:szCs w:val="21"/>
              </w:rPr>
              <w:t>*Potential loss associated with records exposed</w:t>
            </w:r>
          </w:p>
        </w:tc>
        <w:tc>
          <w:tcPr>
            <w:tcW w:w="1718" w:type="dxa"/>
            <w:shd w:val="clear" w:color="auto" w:fill="B6DDE8" w:themeFill="accent5" w:themeFillTint="66"/>
            <w:vAlign w:val="center"/>
          </w:tcPr>
          <w:p w14:paraId="1470D574" w14:textId="77777777" w:rsidR="00EF4FC6" w:rsidRPr="0007424C" w:rsidRDefault="00EF4FC6" w:rsidP="00637027">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$186,086</w:t>
            </w:r>
          </w:p>
        </w:tc>
        <w:tc>
          <w:tcPr>
            <w:tcW w:w="1415" w:type="dxa"/>
            <w:shd w:val="clear" w:color="auto" w:fill="B6DDE8" w:themeFill="accent5" w:themeFillTint="66"/>
            <w:vAlign w:val="center"/>
          </w:tcPr>
          <w:p w14:paraId="47B96D07" w14:textId="77777777" w:rsidR="00EF4FC6" w:rsidRPr="0007424C" w:rsidRDefault="00EF4FC6" w:rsidP="00637027">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$38,038</w:t>
            </w:r>
          </w:p>
        </w:tc>
        <w:tc>
          <w:tcPr>
            <w:tcW w:w="1567" w:type="dxa"/>
            <w:shd w:val="clear" w:color="auto" w:fill="B6DDE8" w:themeFill="accent5" w:themeFillTint="66"/>
            <w:vAlign w:val="center"/>
          </w:tcPr>
          <w:p w14:paraId="2F986DA0" w14:textId="77777777" w:rsidR="00EF4FC6" w:rsidRPr="0007424C" w:rsidRDefault="00EF4FC6" w:rsidP="00637027">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$93,790</w:t>
            </w:r>
          </w:p>
        </w:tc>
        <w:tc>
          <w:tcPr>
            <w:tcW w:w="1567" w:type="dxa"/>
            <w:shd w:val="clear" w:color="auto" w:fill="B6DDE8" w:themeFill="accent5" w:themeFillTint="66"/>
            <w:vAlign w:val="center"/>
          </w:tcPr>
          <w:p w14:paraId="05B262ED" w14:textId="77777777" w:rsidR="00EF4FC6" w:rsidRPr="0007424C" w:rsidRDefault="00EF4FC6" w:rsidP="00637027">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1"/>
                <w:szCs w:val="21"/>
              </w:rPr>
            </w:pPr>
            <w:r w:rsidRPr="0007424C">
              <w:rPr>
                <w:rFonts w:ascii="Verdana" w:hAnsi="Verdana" w:cs="Calibri"/>
                <w:sz w:val="21"/>
                <w:szCs w:val="21"/>
              </w:rPr>
              <w:t>$57,365</w:t>
            </w:r>
          </w:p>
        </w:tc>
      </w:tr>
    </w:tbl>
    <w:p w14:paraId="6FCC0875" w14:textId="77777777" w:rsidR="00EF4FC6" w:rsidRPr="0007424C" w:rsidRDefault="00EF4FC6" w:rsidP="00EF4FC6">
      <w:pPr>
        <w:spacing w:after="240"/>
        <w:rPr>
          <w:rFonts w:ascii="Verdana" w:hAnsi="Verdana"/>
          <w:sz w:val="22"/>
          <w:szCs w:val="22"/>
        </w:rPr>
      </w:pPr>
      <w:r w:rsidRPr="0007424C">
        <w:rPr>
          <w:rFonts w:ascii="Verdana" w:hAnsi="Verdana"/>
          <w:sz w:val="22"/>
          <w:szCs w:val="22"/>
        </w:rPr>
        <w:t xml:space="preserve">*Potential loss associated with records exposed assumes records were exposed and was calculated using the per capita cost by industry of a data breach from the Ponemon Institute’s 2018 Cost of a Data Breach Study: Global Analysis report and the number of security investigations. </w:t>
      </w:r>
    </w:p>
    <w:p w14:paraId="016D5942" w14:textId="5FBD4387" w:rsidR="00EF4FC6" w:rsidRPr="0007424C" w:rsidRDefault="00EF4FC6" w:rsidP="00EF4FC6">
      <w:pPr>
        <w:rPr>
          <w:rFonts w:ascii="Verdana" w:hAnsi="Verdana"/>
          <w:b/>
          <w:sz w:val="22"/>
          <w:szCs w:val="22"/>
        </w:rPr>
      </w:pPr>
      <w:r w:rsidRPr="0007424C">
        <w:rPr>
          <w:rFonts w:ascii="Verdana" w:hAnsi="Verdana"/>
          <w:b/>
          <w:sz w:val="22"/>
          <w:szCs w:val="22"/>
        </w:rPr>
        <w:t>The CSIRT and CSRM are adjusting the cyber incident response playbooks and other security analysis tools to reflect the new multisupplier service platform environment.</w:t>
      </w:r>
    </w:p>
    <w:p w14:paraId="5B05E9E7" w14:textId="77777777" w:rsidR="00EF4FC6" w:rsidRPr="0007424C" w:rsidRDefault="00EF4FC6" w:rsidP="00EF4FC6">
      <w:pPr>
        <w:rPr>
          <w:rFonts w:ascii="Verdana" w:hAnsi="Verdana"/>
          <w:sz w:val="22"/>
          <w:szCs w:val="22"/>
        </w:rPr>
      </w:pPr>
    </w:p>
    <w:p w14:paraId="0CEB3437" w14:textId="54D6D645" w:rsidR="00EF4FC6" w:rsidRDefault="00EF4FC6" w:rsidP="00EF4FC6">
      <w:pPr>
        <w:rPr>
          <w:rFonts w:ascii="Verdana" w:hAnsi="Verdana"/>
          <w:sz w:val="22"/>
          <w:szCs w:val="22"/>
        </w:rPr>
      </w:pPr>
      <w:r w:rsidRPr="0007424C">
        <w:rPr>
          <w:rFonts w:ascii="Verdana" w:hAnsi="Verdana"/>
          <w:sz w:val="22"/>
          <w:szCs w:val="22"/>
        </w:rPr>
        <w:t xml:space="preserve">The VITA </w:t>
      </w:r>
      <w:r w:rsidR="00A109CA">
        <w:rPr>
          <w:rFonts w:ascii="Verdana" w:hAnsi="Verdana"/>
          <w:sz w:val="22"/>
          <w:szCs w:val="22"/>
        </w:rPr>
        <w:t>i</w:t>
      </w:r>
      <w:r w:rsidRPr="0007424C">
        <w:rPr>
          <w:rFonts w:ascii="Verdana" w:hAnsi="Verdana"/>
          <w:sz w:val="22"/>
          <w:szCs w:val="22"/>
        </w:rPr>
        <w:t xml:space="preserve">ncident </w:t>
      </w:r>
      <w:r w:rsidR="00A109CA">
        <w:rPr>
          <w:rFonts w:ascii="Verdana" w:hAnsi="Verdana"/>
          <w:sz w:val="22"/>
          <w:szCs w:val="22"/>
        </w:rPr>
        <w:t>r</w:t>
      </w:r>
      <w:r w:rsidRPr="0007424C">
        <w:rPr>
          <w:rFonts w:ascii="Verdana" w:hAnsi="Verdana"/>
          <w:sz w:val="22"/>
          <w:szCs w:val="22"/>
        </w:rPr>
        <w:t xml:space="preserve">esponse playbook is a comprehensive document that details the processes that CSIRT will utilize to identify, contain, repair and recover from an incident. The playbook is written from the perspective of the </w:t>
      </w:r>
      <w:r w:rsidR="00A109CA">
        <w:rPr>
          <w:rFonts w:ascii="Verdana" w:hAnsi="Verdana"/>
          <w:sz w:val="22"/>
          <w:szCs w:val="22"/>
        </w:rPr>
        <w:t>m</w:t>
      </w:r>
      <w:r w:rsidRPr="0007424C">
        <w:rPr>
          <w:rFonts w:ascii="Verdana" w:hAnsi="Verdana"/>
          <w:sz w:val="22"/>
          <w:szCs w:val="22"/>
        </w:rPr>
        <w:t xml:space="preserve">anaged </w:t>
      </w:r>
      <w:r w:rsidR="00A109CA">
        <w:rPr>
          <w:rFonts w:ascii="Verdana" w:hAnsi="Verdana"/>
          <w:sz w:val="22"/>
          <w:szCs w:val="22"/>
        </w:rPr>
        <w:t>s</w:t>
      </w:r>
      <w:r w:rsidRPr="0007424C">
        <w:rPr>
          <w:rFonts w:ascii="Verdana" w:hAnsi="Verdana"/>
          <w:sz w:val="22"/>
          <w:szCs w:val="22"/>
        </w:rPr>
        <w:t xml:space="preserve">ecurity </w:t>
      </w:r>
      <w:r w:rsidR="00A109CA">
        <w:rPr>
          <w:rFonts w:ascii="Verdana" w:hAnsi="Verdana"/>
          <w:sz w:val="22"/>
          <w:szCs w:val="22"/>
        </w:rPr>
        <w:t>s</w:t>
      </w:r>
      <w:r w:rsidRPr="0007424C">
        <w:rPr>
          <w:rFonts w:ascii="Verdana" w:hAnsi="Verdana"/>
          <w:sz w:val="22"/>
          <w:szCs w:val="22"/>
        </w:rPr>
        <w:t>ervice (MSS) and incorporates standard incident scenarios experience</w:t>
      </w:r>
      <w:r>
        <w:rPr>
          <w:rFonts w:ascii="Verdana" w:hAnsi="Verdana"/>
          <w:sz w:val="22"/>
          <w:szCs w:val="22"/>
        </w:rPr>
        <w:t>d</w:t>
      </w:r>
      <w:r w:rsidRPr="0007424C">
        <w:rPr>
          <w:rFonts w:ascii="Verdana" w:hAnsi="Verdana"/>
          <w:sz w:val="22"/>
          <w:szCs w:val="22"/>
        </w:rPr>
        <w:t xml:space="preserve"> in the past. These</w:t>
      </w:r>
      <w:r>
        <w:rPr>
          <w:rFonts w:ascii="Verdana" w:hAnsi="Verdana"/>
          <w:sz w:val="22"/>
          <w:szCs w:val="22"/>
        </w:rPr>
        <w:t xml:space="preserve"> scenarios</w:t>
      </w:r>
      <w:r w:rsidRPr="0007424C">
        <w:rPr>
          <w:rFonts w:ascii="Verdana" w:hAnsi="Verdana"/>
          <w:sz w:val="22"/>
          <w:szCs w:val="22"/>
        </w:rPr>
        <w:t xml:space="preserve"> </w:t>
      </w:r>
      <w:r>
        <w:rPr>
          <w:rFonts w:ascii="Verdana" w:hAnsi="Verdana"/>
          <w:sz w:val="22"/>
          <w:szCs w:val="22"/>
        </w:rPr>
        <w:t>include</w:t>
      </w:r>
      <w:r w:rsidRPr="0007424C">
        <w:rPr>
          <w:rFonts w:ascii="Verdana" w:hAnsi="Verdana"/>
          <w:sz w:val="22"/>
          <w:szCs w:val="22"/>
        </w:rPr>
        <w:t xml:space="preserve"> the steps required </w:t>
      </w:r>
      <w:r>
        <w:rPr>
          <w:rFonts w:ascii="Verdana" w:hAnsi="Verdana"/>
          <w:sz w:val="22"/>
          <w:szCs w:val="22"/>
        </w:rPr>
        <w:t xml:space="preserve">to process an incident </w:t>
      </w:r>
      <w:r w:rsidRPr="0007424C">
        <w:rPr>
          <w:rFonts w:ascii="Verdana" w:hAnsi="Verdana"/>
          <w:sz w:val="22"/>
          <w:szCs w:val="22"/>
        </w:rPr>
        <w:t xml:space="preserve">and define which service tower supplier (STS) will be responsible for each step. </w:t>
      </w:r>
      <w:r>
        <w:rPr>
          <w:rFonts w:ascii="Verdana" w:hAnsi="Verdana"/>
          <w:sz w:val="22"/>
          <w:szCs w:val="22"/>
        </w:rPr>
        <w:t xml:space="preserve">The actions taken to handle an investigation and/or incident </w:t>
      </w:r>
      <w:r w:rsidR="00161BF6">
        <w:rPr>
          <w:rFonts w:ascii="Verdana" w:hAnsi="Verdana"/>
          <w:sz w:val="22"/>
          <w:szCs w:val="22"/>
        </w:rPr>
        <w:t xml:space="preserve">will </w:t>
      </w:r>
      <w:r>
        <w:rPr>
          <w:rFonts w:ascii="Verdana" w:hAnsi="Verdana"/>
          <w:sz w:val="22"/>
          <w:szCs w:val="22"/>
        </w:rPr>
        <w:t xml:space="preserve">be recorded in Archer, CSRM’s system of record for IT </w:t>
      </w:r>
      <w:r w:rsidR="00161BF6">
        <w:rPr>
          <w:rFonts w:ascii="Verdana" w:hAnsi="Verdana"/>
          <w:sz w:val="22"/>
          <w:szCs w:val="22"/>
        </w:rPr>
        <w:t>s</w:t>
      </w:r>
      <w:r>
        <w:rPr>
          <w:rFonts w:ascii="Verdana" w:hAnsi="Verdana"/>
          <w:sz w:val="22"/>
          <w:szCs w:val="22"/>
        </w:rPr>
        <w:t>ecurity incidents.</w:t>
      </w:r>
    </w:p>
    <w:p w14:paraId="363ED322" w14:textId="77777777" w:rsidR="00EF4FC6" w:rsidRDefault="00EF4FC6" w:rsidP="00EF4FC6">
      <w:pPr>
        <w:rPr>
          <w:rFonts w:ascii="Verdana" w:hAnsi="Verdana"/>
          <w:sz w:val="22"/>
          <w:szCs w:val="22"/>
        </w:rPr>
      </w:pPr>
    </w:p>
    <w:p w14:paraId="23369F30" w14:textId="71A94ADC" w:rsidR="00EF4FC6" w:rsidRPr="0007424C" w:rsidRDefault="00EF4FC6" w:rsidP="00EF4FC6">
      <w:pPr>
        <w:rPr>
          <w:rFonts w:ascii="Verdana" w:hAnsi="Verdana"/>
          <w:sz w:val="22"/>
          <w:szCs w:val="22"/>
        </w:rPr>
      </w:pPr>
      <w:r w:rsidRPr="0007424C">
        <w:rPr>
          <w:rFonts w:ascii="Verdana" w:hAnsi="Verdana"/>
          <w:sz w:val="22"/>
          <w:szCs w:val="22"/>
        </w:rPr>
        <w:t xml:space="preserve">CSIRT has been meeting with the MSI and the MSS on a weekly basis to ensure that the </w:t>
      </w:r>
      <w:r w:rsidR="00161BF6">
        <w:rPr>
          <w:rFonts w:ascii="Verdana" w:hAnsi="Verdana"/>
          <w:sz w:val="22"/>
          <w:szCs w:val="22"/>
        </w:rPr>
        <w:t>i</w:t>
      </w:r>
      <w:r w:rsidRPr="0007424C">
        <w:rPr>
          <w:rFonts w:ascii="Verdana" w:hAnsi="Verdana"/>
          <w:sz w:val="22"/>
          <w:szCs w:val="22"/>
        </w:rPr>
        <w:t xml:space="preserve">ncident </w:t>
      </w:r>
      <w:r w:rsidR="00161BF6">
        <w:rPr>
          <w:rFonts w:ascii="Verdana" w:hAnsi="Verdana"/>
          <w:sz w:val="22"/>
          <w:szCs w:val="22"/>
        </w:rPr>
        <w:t>r</w:t>
      </w:r>
      <w:r w:rsidRPr="0007424C">
        <w:rPr>
          <w:rFonts w:ascii="Verdana" w:hAnsi="Verdana"/>
          <w:sz w:val="22"/>
          <w:szCs w:val="22"/>
        </w:rPr>
        <w:t xml:space="preserve">esponse </w:t>
      </w:r>
      <w:r w:rsidR="00161BF6">
        <w:rPr>
          <w:rFonts w:ascii="Verdana" w:hAnsi="Verdana"/>
          <w:sz w:val="22"/>
          <w:szCs w:val="22"/>
        </w:rPr>
        <w:t>t</w:t>
      </w:r>
      <w:r w:rsidRPr="0007424C">
        <w:rPr>
          <w:rFonts w:ascii="Verdana" w:hAnsi="Verdana"/>
          <w:sz w:val="22"/>
          <w:szCs w:val="22"/>
        </w:rPr>
        <w:t>eams have an intimate understand</w:t>
      </w:r>
      <w:r>
        <w:rPr>
          <w:rFonts w:ascii="Verdana" w:hAnsi="Verdana"/>
          <w:sz w:val="22"/>
          <w:szCs w:val="22"/>
        </w:rPr>
        <w:t>ing</w:t>
      </w:r>
      <w:r w:rsidRPr="0007424C">
        <w:rPr>
          <w:rFonts w:ascii="Verdana" w:hAnsi="Verdana"/>
          <w:sz w:val="22"/>
          <w:szCs w:val="22"/>
        </w:rPr>
        <w:t xml:space="preserve"> of how the incident process will work in the multisourcing environment. During these meetings, any process or procedure questions that arise are discussed to determine the most effective course of operation to facilitate resolving incidents in a timely manner.  </w:t>
      </w:r>
    </w:p>
    <w:p w14:paraId="0185B421" w14:textId="77777777" w:rsidR="00EF4FC6" w:rsidRPr="0007424C" w:rsidRDefault="00EF4FC6" w:rsidP="00EF4FC6">
      <w:pPr>
        <w:rPr>
          <w:rFonts w:ascii="Verdana" w:hAnsi="Verdana"/>
          <w:sz w:val="22"/>
          <w:szCs w:val="22"/>
        </w:rPr>
      </w:pPr>
    </w:p>
    <w:p w14:paraId="015C189B" w14:textId="2AF9C20E" w:rsidR="00EF4FC6" w:rsidRPr="0007424C" w:rsidRDefault="00EF4FC6" w:rsidP="00EF4FC6">
      <w:pPr>
        <w:rPr>
          <w:rFonts w:ascii="Verdana" w:eastAsiaTheme="minorHAnsi" w:hAnsi="Verdana" w:cstheme="minorBidi"/>
          <w:color w:val="auto"/>
          <w:sz w:val="22"/>
          <w:szCs w:val="22"/>
        </w:rPr>
      </w:pPr>
      <w:r w:rsidRPr="0007424C">
        <w:rPr>
          <w:rFonts w:ascii="Verdana" w:hAnsi="Verdana"/>
          <w:sz w:val="22"/>
          <w:szCs w:val="22"/>
        </w:rPr>
        <w:t xml:space="preserve">As new </w:t>
      </w:r>
      <w:r w:rsidR="00F636F6">
        <w:rPr>
          <w:rFonts w:ascii="Verdana" w:hAnsi="Verdana"/>
          <w:sz w:val="22"/>
          <w:szCs w:val="22"/>
        </w:rPr>
        <w:t>supplier</w:t>
      </w:r>
      <w:r w:rsidRPr="0007424C">
        <w:rPr>
          <w:rFonts w:ascii="Verdana" w:hAnsi="Verdana"/>
          <w:sz w:val="22"/>
          <w:szCs w:val="22"/>
        </w:rPr>
        <w:t xml:space="preserve"> are incorporated into the environment, </w:t>
      </w:r>
      <w:r w:rsidR="00703DE1">
        <w:rPr>
          <w:rFonts w:ascii="Verdana" w:hAnsi="Verdana"/>
          <w:sz w:val="22"/>
          <w:szCs w:val="22"/>
        </w:rPr>
        <w:t>CSIRT</w:t>
      </w:r>
      <w:r w:rsidRPr="0007424C">
        <w:rPr>
          <w:rFonts w:ascii="Verdana" w:hAnsi="Verdana"/>
          <w:sz w:val="22"/>
          <w:szCs w:val="22"/>
        </w:rPr>
        <w:t xml:space="preserve"> reviews the </w:t>
      </w:r>
      <w:r w:rsidR="00703DE1">
        <w:rPr>
          <w:rFonts w:ascii="Verdana" w:hAnsi="Verdana"/>
          <w:sz w:val="22"/>
          <w:szCs w:val="22"/>
        </w:rPr>
        <w:t>i</w:t>
      </w:r>
      <w:r w:rsidRPr="0007424C">
        <w:rPr>
          <w:rFonts w:ascii="Verdana" w:hAnsi="Verdana"/>
          <w:sz w:val="22"/>
          <w:szCs w:val="22"/>
        </w:rPr>
        <w:t xml:space="preserve">ncident </w:t>
      </w:r>
      <w:r w:rsidR="00703DE1">
        <w:rPr>
          <w:rFonts w:ascii="Verdana" w:hAnsi="Verdana"/>
          <w:sz w:val="22"/>
          <w:szCs w:val="22"/>
        </w:rPr>
        <w:t>r</w:t>
      </w:r>
      <w:r w:rsidRPr="0007424C">
        <w:rPr>
          <w:rFonts w:ascii="Verdana" w:hAnsi="Verdana"/>
          <w:sz w:val="22"/>
          <w:szCs w:val="22"/>
        </w:rPr>
        <w:t xml:space="preserve">esponse </w:t>
      </w:r>
      <w:r w:rsidR="00703DE1">
        <w:rPr>
          <w:rFonts w:ascii="Verdana" w:hAnsi="Verdana"/>
          <w:sz w:val="22"/>
          <w:szCs w:val="22"/>
        </w:rPr>
        <w:t>p</w:t>
      </w:r>
      <w:r w:rsidRPr="0007424C">
        <w:rPr>
          <w:rFonts w:ascii="Verdana" w:hAnsi="Verdana"/>
          <w:sz w:val="22"/>
          <w:szCs w:val="22"/>
        </w:rPr>
        <w:t xml:space="preserve">lans and provides guidance on their role in the process and how to develop their incident response playbooks to work with the other STSs, the MSS, the MSI and VITA. This coordination effort will promote response preparedness, consistency and overall effectiveness of the incident response program. CSRM will use the CSIRT’s incident response playbook </w:t>
      </w:r>
      <w:r>
        <w:rPr>
          <w:rFonts w:ascii="Verdana" w:hAnsi="Verdana"/>
          <w:sz w:val="22"/>
          <w:szCs w:val="22"/>
        </w:rPr>
        <w:t>to integrate with</w:t>
      </w:r>
      <w:r w:rsidRPr="0007424C">
        <w:rPr>
          <w:rFonts w:ascii="Verdana" w:hAnsi="Verdana"/>
          <w:sz w:val="22"/>
          <w:szCs w:val="22"/>
        </w:rPr>
        <w:t xml:space="preserve"> agency incident response programs. </w:t>
      </w:r>
    </w:p>
    <w:p w14:paraId="452891C8" w14:textId="77777777" w:rsidR="00EF4FC6" w:rsidRPr="0007424C" w:rsidRDefault="00EF4FC6" w:rsidP="00EF4FC6">
      <w:pPr>
        <w:rPr>
          <w:rFonts w:ascii="Verdana" w:hAnsi="Verdana"/>
          <w:b/>
          <w:sz w:val="22"/>
          <w:szCs w:val="22"/>
        </w:rPr>
      </w:pPr>
    </w:p>
    <w:p w14:paraId="406D6FB9" w14:textId="7AA1E58C" w:rsidR="00EF4FC6" w:rsidRPr="0007424C" w:rsidRDefault="00703DE1" w:rsidP="00EF4FC6">
      <w:pPr>
        <w:rPr>
          <w:rFonts w:ascii="Verdana" w:hAnsi="Verdana"/>
          <w:sz w:val="22"/>
          <w:szCs w:val="22"/>
        </w:rPr>
      </w:pPr>
      <w:r>
        <w:rPr>
          <w:rFonts w:ascii="Verdana" w:hAnsi="Verdana"/>
          <w:b/>
          <w:sz w:val="22"/>
          <w:szCs w:val="22"/>
        </w:rPr>
        <w:t>CSIRT</w:t>
      </w:r>
      <w:r w:rsidR="00EF4FC6" w:rsidRPr="0007424C">
        <w:rPr>
          <w:rFonts w:ascii="Verdana" w:hAnsi="Verdana"/>
          <w:b/>
          <w:sz w:val="22"/>
          <w:szCs w:val="22"/>
        </w:rPr>
        <w:t xml:space="preserve"> provided support for the mid-term elections.</w:t>
      </w:r>
      <w:r w:rsidR="00EF4FC6">
        <w:rPr>
          <w:rFonts w:ascii="Verdana" w:hAnsi="Verdana"/>
          <w:b/>
          <w:sz w:val="22"/>
          <w:szCs w:val="22"/>
        </w:rPr>
        <w:t xml:space="preserve">  </w:t>
      </w:r>
      <w:r w:rsidR="0039368E">
        <w:rPr>
          <w:rFonts w:ascii="Verdana" w:hAnsi="Verdana"/>
          <w:sz w:val="22"/>
          <w:szCs w:val="22"/>
        </w:rPr>
        <w:t xml:space="preserve">In line with the declaration of election systems as critical infrastructure CSRM provided assistance to the </w:t>
      </w:r>
      <w:r w:rsidR="00EF4FC6" w:rsidRPr="0007424C">
        <w:rPr>
          <w:rFonts w:ascii="Verdana" w:hAnsi="Verdana"/>
          <w:sz w:val="22"/>
          <w:szCs w:val="22"/>
        </w:rPr>
        <w:t xml:space="preserve">Department of Elections </w:t>
      </w:r>
      <w:r w:rsidR="00585B74">
        <w:rPr>
          <w:rFonts w:ascii="Verdana" w:hAnsi="Verdana"/>
          <w:sz w:val="22"/>
          <w:szCs w:val="22"/>
        </w:rPr>
        <w:t xml:space="preserve">in preparing for mid-term elections.  CSRM performed </w:t>
      </w:r>
      <w:r w:rsidR="0039368E">
        <w:rPr>
          <w:rFonts w:ascii="Verdana" w:hAnsi="Verdana"/>
          <w:sz w:val="22"/>
          <w:szCs w:val="22"/>
        </w:rPr>
        <w:t xml:space="preserve">a comprehensive security </w:t>
      </w:r>
      <w:r w:rsidR="00585B74">
        <w:rPr>
          <w:rFonts w:ascii="Verdana" w:hAnsi="Verdana"/>
          <w:sz w:val="22"/>
          <w:szCs w:val="22"/>
        </w:rPr>
        <w:t>review to ensure</w:t>
      </w:r>
      <w:r w:rsidR="00EF4FC6" w:rsidRPr="0007424C">
        <w:rPr>
          <w:rFonts w:ascii="Verdana" w:hAnsi="Verdana"/>
          <w:sz w:val="22"/>
          <w:szCs w:val="22"/>
        </w:rPr>
        <w:t xml:space="preserve"> the </w:t>
      </w:r>
      <w:r w:rsidR="00585B74">
        <w:rPr>
          <w:rFonts w:ascii="Verdana" w:hAnsi="Verdana"/>
          <w:sz w:val="22"/>
          <w:szCs w:val="22"/>
        </w:rPr>
        <w:t xml:space="preserve">different systems and infrastructure supporting the </w:t>
      </w:r>
      <w:r w:rsidR="00EF4FC6" w:rsidRPr="0007424C">
        <w:rPr>
          <w:rFonts w:ascii="Verdana" w:hAnsi="Verdana"/>
          <w:sz w:val="22"/>
          <w:szCs w:val="22"/>
        </w:rPr>
        <w:t>elections secure</w:t>
      </w:r>
      <w:r w:rsidR="00585B74">
        <w:rPr>
          <w:rFonts w:ascii="Verdana" w:hAnsi="Verdana"/>
          <w:sz w:val="22"/>
          <w:szCs w:val="22"/>
        </w:rPr>
        <w:t>.</w:t>
      </w:r>
      <w:r w:rsidR="00EF4FC6" w:rsidRPr="0007424C">
        <w:rPr>
          <w:rFonts w:ascii="Verdana" w:hAnsi="Verdana"/>
          <w:sz w:val="22"/>
          <w:szCs w:val="22"/>
        </w:rPr>
        <w:t xml:space="preserve"> CSRM worked with the Department of Elections to have their systems scanned for vulnerabilities, conducted a simulated phishing campaign with local registrars and participated in the </w:t>
      </w:r>
      <w:r>
        <w:rPr>
          <w:rFonts w:ascii="Verdana" w:hAnsi="Verdana"/>
          <w:sz w:val="22"/>
          <w:szCs w:val="22"/>
        </w:rPr>
        <w:t>c</w:t>
      </w:r>
      <w:r w:rsidR="00EF4FC6" w:rsidRPr="0007424C">
        <w:rPr>
          <w:rFonts w:ascii="Verdana" w:hAnsi="Verdana"/>
          <w:sz w:val="22"/>
          <w:szCs w:val="22"/>
        </w:rPr>
        <w:t xml:space="preserve">ommand </w:t>
      </w:r>
      <w:r>
        <w:rPr>
          <w:rFonts w:ascii="Verdana" w:hAnsi="Verdana"/>
          <w:sz w:val="22"/>
          <w:szCs w:val="22"/>
        </w:rPr>
        <w:t>c</w:t>
      </w:r>
      <w:r w:rsidR="00EF4FC6" w:rsidRPr="0007424C">
        <w:rPr>
          <w:rFonts w:ascii="Verdana" w:hAnsi="Verdana"/>
          <w:sz w:val="22"/>
          <w:szCs w:val="22"/>
        </w:rPr>
        <w:t>enter that was set</w:t>
      </w:r>
      <w:r>
        <w:rPr>
          <w:rFonts w:ascii="Verdana" w:hAnsi="Verdana"/>
          <w:sz w:val="22"/>
          <w:szCs w:val="22"/>
        </w:rPr>
        <w:t xml:space="preserve"> </w:t>
      </w:r>
      <w:r w:rsidR="00EF4FC6" w:rsidRPr="0007424C">
        <w:rPr>
          <w:rFonts w:ascii="Verdana" w:hAnsi="Verdana"/>
          <w:sz w:val="22"/>
          <w:szCs w:val="22"/>
        </w:rPr>
        <w:t>up to handle any issues occurring on Election Day.</w:t>
      </w:r>
      <w:r w:rsidR="00EF4FC6">
        <w:rPr>
          <w:rFonts w:ascii="Verdana" w:hAnsi="Verdana"/>
          <w:sz w:val="22"/>
          <w:szCs w:val="22"/>
        </w:rPr>
        <w:t xml:space="preserve"> CSRM is </w:t>
      </w:r>
      <w:r w:rsidR="00585B74">
        <w:rPr>
          <w:rFonts w:ascii="Verdana" w:hAnsi="Verdana"/>
          <w:sz w:val="22"/>
          <w:szCs w:val="22"/>
        </w:rPr>
        <w:t xml:space="preserve">also working to develop </w:t>
      </w:r>
      <w:r w:rsidR="00EF4FC6">
        <w:rPr>
          <w:rFonts w:ascii="Verdana" w:hAnsi="Verdana"/>
          <w:sz w:val="22"/>
          <w:szCs w:val="22"/>
        </w:rPr>
        <w:t xml:space="preserve">standard </w:t>
      </w:r>
      <w:r>
        <w:rPr>
          <w:rFonts w:ascii="Verdana" w:hAnsi="Verdana"/>
          <w:sz w:val="22"/>
          <w:szCs w:val="22"/>
        </w:rPr>
        <w:t>e</w:t>
      </w:r>
      <w:r w:rsidR="00EF4FC6">
        <w:rPr>
          <w:rFonts w:ascii="Verdana" w:hAnsi="Verdana"/>
          <w:sz w:val="22"/>
          <w:szCs w:val="22"/>
        </w:rPr>
        <w:t xml:space="preserve">lection </w:t>
      </w:r>
      <w:r>
        <w:rPr>
          <w:rFonts w:ascii="Verdana" w:hAnsi="Verdana"/>
          <w:sz w:val="22"/>
          <w:szCs w:val="22"/>
        </w:rPr>
        <w:t>r</w:t>
      </w:r>
      <w:r w:rsidR="00EF4FC6">
        <w:rPr>
          <w:rFonts w:ascii="Verdana" w:hAnsi="Verdana"/>
          <w:sz w:val="22"/>
          <w:szCs w:val="22"/>
        </w:rPr>
        <w:t>eadiness</w:t>
      </w:r>
      <w:r w:rsidR="00231820">
        <w:rPr>
          <w:rFonts w:ascii="Verdana" w:hAnsi="Verdana"/>
          <w:sz w:val="22"/>
          <w:szCs w:val="22"/>
        </w:rPr>
        <w:t xml:space="preserve"> protocols</w:t>
      </w:r>
      <w:r w:rsidR="00EF4FC6">
        <w:rPr>
          <w:rFonts w:ascii="Verdana" w:hAnsi="Verdana"/>
          <w:sz w:val="22"/>
          <w:szCs w:val="22"/>
        </w:rPr>
        <w:t xml:space="preserve"> in line with trending election threats.</w:t>
      </w:r>
    </w:p>
    <w:bookmarkEnd w:id="7"/>
    <w:p w14:paraId="78D7690F" w14:textId="4C208C94" w:rsidR="00BA6461" w:rsidRPr="00096C75" w:rsidRDefault="00BA6461" w:rsidP="003073DD">
      <w:pPr>
        <w:rPr>
          <w:rFonts w:ascii="Verdana" w:hAnsi="Verdana"/>
          <w:b/>
          <w:sz w:val="22"/>
          <w:szCs w:val="22"/>
        </w:rPr>
      </w:pPr>
    </w:p>
    <w:p w14:paraId="46454B96" w14:textId="77777777" w:rsidR="0085568C" w:rsidRPr="004A76A0" w:rsidRDefault="0085568C" w:rsidP="004A76A0">
      <w:pPr>
        <w:pStyle w:val="Heading1"/>
        <w:rPr>
          <w:rFonts w:ascii="Verdana" w:hAnsi="Verdana"/>
          <w:color w:val="008000"/>
          <w:sz w:val="22"/>
          <w:szCs w:val="22"/>
        </w:rPr>
      </w:pPr>
      <w:bookmarkStart w:id="11" w:name="_Toc14262274"/>
      <w:bookmarkEnd w:id="3"/>
      <w:r w:rsidRPr="004A76A0">
        <w:rPr>
          <w:rFonts w:ascii="Verdana" w:hAnsi="Verdana"/>
          <w:color w:val="008000"/>
          <w:sz w:val="22"/>
          <w:szCs w:val="22"/>
        </w:rPr>
        <w:t>CSRM Security Services Center</w:t>
      </w:r>
      <w:bookmarkEnd w:id="11"/>
      <w:r w:rsidRPr="004A76A0">
        <w:rPr>
          <w:rFonts w:ascii="Verdana" w:hAnsi="Verdana"/>
          <w:color w:val="008000"/>
          <w:sz w:val="22"/>
          <w:szCs w:val="22"/>
        </w:rPr>
        <w:t xml:space="preserve"> </w:t>
      </w:r>
    </w:p>
    <w:p w14:paraId="6B718D8F" w14:textId="0B96E54C" w:rsidR="0085568C" w:rsidRPr="008D5A8A" w:rsidRDefault="003D7C38" w:rsidP="0085568C">
      <w:pPr>
        <w:spacing w:before="240" w:after="60"/>
        <w:rPr>
          <w:rFonts w:ascii="Verdana" w:hAnsi="Verdana"/>
          <w:bCs/>
          <w:sz w:val="22"/>
          <w:szCs w:val="22"/>
        </w:rPr>
      </w:pPr>
      <w:r w:rsidRPr="008D5A8A">
        <w:rPr>
          <w:rFonts w:ascii="Verdana" w:hAnsi="Verdana"/>
          <w:bCs/>
          <w:sz w:val="22"/>
          <w:szCs w:val="22"/>
        </w:rPr>
        <w:t xml:space="preserve">The </w:t>
      </w:r>
      <w:r w:rsidR="00BB53E1" w:rsidRPr="008D5A8A">
        <w:rPr>
          <w:rFonts w:ascii="Verdana" w:hAnsi="Verdana"/>
          <w:bCs/>
          <w:sz w:val="22"/>
          <w:szCs w:val="22"/>
        </w:rPr>
        <w:t>Security Service</w:t>
      </w:r>
      <w:r w:rsidR="00F76D35" w:rsidRPr="008D5A8A">
        <w:rPr>
          <w:rFonts w:ascii="Verdana" w:hAnsi="Verdana"/>
          <w:bCs/>
          <w:sz w:val="22"/>
          <w:szCs w:val="22"/>
        </w:rPr>
        <w:t>s</w:t>
      </w:r>
      <w:r w:rsidR="00BB53E1" w:rsidRPr="008D5A8A">
        <w:rPr>
          <w:rFonts w:ascii="Verdana" w:hAnsi="Verdana"/>
          <w:bCs/>
          <w:sz w:val="22"/>
          <w:szCs w:val="22"/>
        </w:rPr>
        <w:t xml:space="preserve"> Center</w:t>
      </w:r>
      <w:r w:rsidR="004009C6" w:rsidRPr="008D5A8A">
        <w:rPr>
          <w:rFonts w:ascii="Verdana" w:hAnsi="Verdana"/>
          <w:bCs/>
          <w:sz w:val="22"/>
          <w:szCs w:val="22"/>
        </w:rPr>
        <w:t xml:space="preserve">, also called centralized services, </w:t>
      </w:r>
      <w:r w:rsidR="00787833" w:rsidRPr="008D5A8A">
        <w:rPr>
          <w:rFonts w:ascii="Verdana" w:hAnsi="Verdana"/>
          <w:bCs/>
          <w:sz w:val="22"/>
          <w:szCs w:val="22"/>
        </w:rPr>
        <w:t>includ</w:t>
      </w:r>
      <w:r w:rsidR="0086484B" w:rsidRPr="008D5A8A">
        <w:rPr>
          <w:rFonts w:ascii="Verdana" w:hAnsi="Verdana"/>
          <w:bCs/>
          <w:sz w:val="22"/>
          <w:szCs w:val="22"/>
        </w:rPr>
        <w:t>e</w:t>
      </w:r>
      <w:r w:rsidR="00083FEE">
        <w:rPr>
          <w:rFonts w:ascii="Verdana" w:hAnsi="Verdana"/>
          <w:bCs/>
          <w:sz w:val="22"/>
          <w:szCs w:val="22"/>
        </w:rPr>
        <w:t>s centralized</w:t>
      </w:r>
      <w:r w:rsidR="00787833" w:rsidRPr="008D5A8A">
        <w:rPr>
          <w:rFonts w:ascii="Verdana" w:hAnsi="Verdana"/>
          <w:bCs/>
          <w:sz w:val="22"/>
          <w:szCs w:val="22"/>
        </w:rPr>
        <w:t xml:space="preserve"> </w:t>
      </w:r>
      <w:r w:rsidR="0085568C" w:rsidRPr="008D5A8A">
        <w:rPr>
          <w:rFonts w:ascii="Verdana" w:hAnsi="Verdana"/>
          <w:bCs/>
          <w:sz w:val="22"/>
          <w:szCs w:val="22"/>
        </w:rPr>
        <w:t xml:space="preserve">IT </w:t>
      </w:r>
      <w:r w:rsidR="00F76D35" w:rsidRPr="008D5A8A">
        <w:rPr>
          <w:rFonts w:ascii="Verdana" w:hAnsi="Verdana"/>
          <w:bCs/>
          <w:sz w:val="22"/>
          <w:szCs w:val="22"/>
        </w:rPr>
        <w:t>s</w:t>
      </w:r>
      <w:r w:rsidR="00BB53E1" w:rsidRPr="008D5A8A">
        <w:rPr>
          <w:rFonts w:ascii="Verdana" w:hAnsi="Verdana"/>
          <w:bCs/>
          <w:sz w:val="22"/>
          <w:szCs w:val="22"/>
        </w:rPr>
        <w:t xml:space="preserve">ecurity </w:t>
      </w:r>
      <w:r w:rsidR="00F76D35" w:rsidRPr="008D5A8A">
        <w:rPr>
          <w:rFonts w:ascii="Verdana" w:hAnsi="Verdana"/>
          <w:bCs/>
          <w:sz w:val="22"/>
          <w:szCs w:val="22"/>
        </w:rPr>
        <w:t>a</w:t>
      </w:r>
      <w:r w:rsidR="0085568C" w:rsidRPr="008D5A8A">
        <w:rPr>
          <w:rFonts w:ascii="Verdana" w:hAnsi="Verdana"/>
          <w:bCs/>
          <w:sz w:val="22"/>
          <w:szCs w:val="22"/>
        </w:rPr>
        <w:t>udit</w:t>
      </w:r>
      <w:r w:rsidR="00BB53E1" w:rsidRPr="008D5A8A">
        <w:rPr>
          <w:rFonts w:ascii="Verdana" w:hAnsi="Verdana"/>
          <w:bCs/>
          <w:sz w:val="22"/>
          <w:szCs w:val="22"/>
        </w:rPr>
        <w:t xml:space="preserve"> </w:t>
      </w:r>
      <w:r w:rsidR="00F76D35" w:rsidRPr="008D5A8A">
        <w:rPr>
          <w:rFonts w:ascii="Verdana" w:hAnsi="Verdana"/>
          <w:bCs/>
          <w:sz w:val="22"/>
          <w:szCs w:val="22"/>
        </w:rPr>
        <w:t>s</w:t>
      </w:r>
      <w:r w:rsidRPr="008D5A8A">
        <w:rPr>
          <w:rFonts w:ascii="Verdana" w:hAnsi="Verdana"/>
          <w:bCs/>
          <w:sz w:val="22"/>
          <w:szCs w:val="22"/>
        </w:rPr>
        <w:t>ervices</w:t>
      </w:r>
      <w:r w:rsidR="0085568C" w:rsidRPr="008D5A8A">
        <w:rPr>
          <w:rFonts w:ascii="Verdana" w:hAnsi="Verdana"/>
          <w:bCs/>
          <w:sz w:val="22"/>
          <w:szCs w:val="22"/>
        </w:rPr>
        <w:t xml:space="preserve">, </w:t>
      </w:r>
      <w:r w:rsidRPr="008D5A8A">
        <w:rPr>
          <w:rFonts w:ascii="Verdana" w:hAnsi="Verdana"/>
          <w:bCs/>
          <w:sz w:val="22"/>
          <w:szCs w:val="22"/>
        </w:rPr>
        <w:t>ISO</w:t>
      </w:r>
      <w:r w:rsidR="0085568C" w:rsidRPr="008D5A8A">
        <w:rPr>
          <w:rFonts w:ascii="Verdana" w:hAnsi="Verdana"/>
          <w:bCs/>
          <w:sz w:val="22"/>
          <w:szCs w:val="22"/>
        </w:rPr>
        <w:t xml:space="preserve"> </w:t>
      </w:r>
      <w:r w:rsidR="00BF1D49" w:rsidRPr="008D5A8A">
        <w:rPr>
          <w:rFonts w:ascii="Verdana" w:hAnsi="Verdana"/>
          <w:bCs/>
          <w:sz w:val="22"/>
          <w:szCs w:val="22"/>
        </w:rPr>
        <w:t>s</w:t>
      </w:r>
      <w:r w:rsidR="0085568C" w:rsidRPr="008D5A8A">
        <w:rPr>
          <w:rFonts w:ascii="Verdana" w:hAnsi="Verdana"/>
          <w:bCs/>
          <w:sz w:val="22"/>
          <w:szCs w:val="22"/>
        </w:rPr>
        <w:t xml:space="preserve">ervices, and </w:t>
      </w:r>
      <w:r w:rsidRPr="008D5A8A">
        <w:rPr>
          <w:rFonts w:ascii="Verdana" w:hAnsi="Verdana"/>
          <w:bCs/>
          <w:sz w:val="22"/>
          <w:szCs w:val="22"/>
        </w:rPr>
        <w:t xml:space="preserve">web application </w:t>
      </w:r>
      <w:r w:rsidR="0085568C" w:rsidRPr="008D5A8A">
        <w:rPr>
          <w:rFonts w:ascii="Verdana" w:hAnsi="Verdana"/>
          <w:bCs/>
          <w:sz w:val="22"/>
          <w:szCs w:val="22"/>
        </w:rPr>
        <w:t>vulnerability scanning</w:t>
      </w:r>
      <w:r w:rsidR="00787833" w:rsidRPr="008D5A8A">
        <w:rPr>
          <w:rFonts w:ascii="Verdana" w:hAnsi="Verdana"/>
          <w:bCs/>
          <w:sz w:val="22"/>
          <w:szCs w:val="22"/>
        </w:rPr>
        <w:t xml:space="preserve"> </w:t>
      </w:r>
      <w:r w:rsidR="00FD779D" w:rsidRPr="008D5A8A">
        <w:rPr>
          <w:rFonts w:ascii="Verdana" w:hAnsi="Verdana"/>
          <w:bCs/>
          <w:sz w:val="22"/>
          <w:szCs w:val="22"/>
        </w:rPr>
        <w:t>programs</w:t>
      </w:r>
      <w:r w:rsidR="007537DC" w:rsidRPr="008D5A8A">
        <w:rPr>
          <w:rFonts w:ascii="Verdana" w:hAnsi="Verdana"/>
          <w:bCs/>
          <w:sz w:val="22"/>
          <w:szCs w:val="22"/>
        </w:rPr>
        <w:t xml:space="preserve">. These </w:t>
      </w:r>
      <w:r w:rsidRPr="008D5A8A">
        <w:rPr>
          <w:rFonts w:ascii="Verdana" w:hAnsi="Verdana"/>
          <w:bCs/>
          <w:sz w:val="22"/>
          <w:szCs w:val="22"/>
        </w:rPr>
        <w:t xml:space="preserve">services </w:t>
      </w:r>
      <w:r w:rsidR="00BE02A9">
        <w:rPr>
          <w:rFonts w:ascii="Verdana" w:hAnsi="Verdana"/>
          <w:bCs/>
          <w:sz w:val="22"/>
          <w:szCs w:val="22"/>
        </w:rPr>
        <w:t xml:space="preserve">are designed to </w:t>
      </w:r>
      <w:r w:rsidR="007537DC" w:rsidRPr="008D5A8A">
        <w:rPr>
          <w:rFonts w:ascii="Verdana" w:hAnsi="Verdana"/>
          <w:bCs/>
          <w:sz w:val="22"/>
          <w:szCs w:val="22"/>
        </w:rPr>
        <w:t xml:space="preserve">supplement </w:t>
      </w:r>
      <w:r w:rsidR="00787833" w:rsidRPr="008D5A8A">
        <w:rPr>
          <w:rFonts w:ascii="Verdana" w:hAnsi="Verdana"/>
          <w:bCs/>
          <w:sz w:val="22"/>
          <w:szCs w:val="22"/>
        </w:rPr>
        <w:t xml:space="preserve">agency </w:t>
      </w:r>
      <w:r w:rsidR="007537DC" w:rsidRPr="008D5A8A">
        <w:rPr>
          <w:rFonts w:ascii="Verdana" w:hAnsi="Verdana"/>
          <w:bCs/>
          <w:sz w:val="22"/>
          <w:szCs w:val="22"/>
        </w:rPr>
        <w:t xml:space="preserve">IT security programs and </w:t>
      </w:r>
      <w:r w:rsidR="00787833" w:rsidRPr="008D5A8A">
        <w:rPr>
          <w:rFonts w:ascii="Verdana" w:hAnsi="Verdana"/>
          <w:bCs/>
          <w:sz w:val="22"/>
          <w:szCs w:val="22"/>
        </w:rPr>
        <w:t xml:space="preserve">support of the overall </w:t>
      </w:r>
      <w:r w:rsidRPr="008D5A8A">
        <w:rPr>
          <w:rFonts w:ascii="Verdana" w:hAnsi="Verdana"/>
          <w:bCs/>
          <w:sz w:val="22"/>
          <w:szCs w:val="22"/>
        </w:rPr>
        <w:t xml:space="preserve">information </w:t>
      </w:r>
      <w:r w:rsidR="007537DC" w:rsidRPr="008D5A8A">
        <w:rPr>
          <w:rFonts w:ascii="Verdana" w:hAnsi="Verdana"/>
          <w:bCs/>
          <w:sz w:val="22"/>
          <w:szCs w:val="22"/>
        </w:rPr>
        <w:t>security</w:t>
      </w:r>
      <w:r w:rsidRPr="008D5A8A">
        <w:rPr>
          <w:rFonts w:ascii="Verdana" w:hAnsi="Verdana"/>
          <w:bCs/>
          <w:sz w:val="22"/>
          <w:szCs w:val="22"/>
        </w:rPr>
        <w:t xml:space="preserve"> in the C</w:t>
      </w:r>
      <w:r w:rsidR="007537DC" w:rsidRPr="008D5A8A">
        <w:rPr>
          <w:rFonts w:ascii="Verdana" w:hAnsi="Verdana"/>
          <w:bCs/>
          <w:sz w:val="22"/>
          <w:szCs w:val="22"/>
        </w:rPr>
        <w:t xml:space="preserve">ommonwealth </w:t>
      </w:r>
      <w:r w:rsidRPr="008D5A8A">
        <w:rPr>
          <w:rFonts w:ascii="Verdana" w:hAnsi="Verdana"/>
          <w:bCs/>
          <w:sz w:val="22"/>
          <w:szCs w:val="22"/>
        </w:rPr>
        <w:t xml:space="preserve">of Virginia.  </w:t>
      </w:r>
    </w:p>
    <w:p w14:paraId="7E509F81" w14:textId="39660466" w:rsidR="0085568C" w:rsidRPr="00176C7B" w:rsidRDefault="00083FEE" w:rsidP="0085568C">
      <w:pPr>
        <w:pStyle w:val="Heading2"/>
        <w:rPr>
          <w:sz w:val="22"/>
          <w:szCs w:val="22"/>
        </w:rPr>
      </w:pPr>
      <w:bookmarkStart w:id="12" w:name="_Toc14262275"/>
      <w:r w:rsidRPr="00176C7B">
        <w:rPr>
          <w:sz w:val="22"/>
          <w:szCs w:val="22"/>
        </w:rPr>
        <w:t xml:space="preserve">Centralized </w:t>
      </w:r>
      <w:r w:rsidR="0085568C" w:rsidRPr="00176C7B">
        <w:rPr>
          <w:sz w:val="22"/>
          <w:szCs w:val="22"/>
        </w:rPr>
        <w:t xml:space="preserve">IT </w:t>
      </w:r>
      <w:r w:rsidR="00176C7B">
        <w:rPr>
          <w:sz w:val="22"/>
          <w:szCs w:val="22"/>
        </w:rPr>
        <w:t xml:space="preserve">security </w:t>
      </w:r>
      <w:r w:rsidR="00F76D35" w:rsidRPr="00176C7B">
        <w:rPr>
          <w:sz w:val="22"/>
          <w:szCs w:val="22"/>
        </w:rPr>
        <w:t>a</w:t>
      </w:r>
      <w:r w:rsidR="0085568C" w:rsidRPr="00176C7B">
        <w:rPr>
          <w:sz w:val="22"/>
          <w:szCs w:val="22"/>
        </w:rPr>
        <w:t xml:space="preserve">udit </w:t>
      </w:r>
      <w:r w:rsidR="00F76D35" w:rsidRPr="00176C7B">
        <w:rPr>
          <w:sz w:val="22"/>
          <w:szCs w:val="22"/>
        </w:rPr>
        <w:t>s</w:t>
      </w:r>
      <w:r w:rsidR="0085568C" w:rsidRPr="00176C7B">
        <w:rPr>
          <w:sz w:val="22"/>
          <w:szCs w:val="22"/>
        </w:rPr>
        <w:t>ervices</w:t>
      </w:r>
      <w:bookmarkEnd w:id="12"/>
      <w:r w:rsidR="0085568C" w:rsidRPr="00176C7B">
        <w:rPr>
          <w:sz w:val="22"/>
          <w:szCs w:val="22"/>
        </w:rPr>
        <w:t xml:space="preserve"> </w:t>
      </w:r>
    </w:p>
    <w:p w14:paraId="76B3D22C" w14:textId="36E748C3" w:rsidR="00083FEE" w:rsidRDefault="00083FEE" w:rsidP="007537DC">
      <w:pPr>
        <w:rPr>
          <w:rFonts w:ascii="Verdana" w:hAnsi="Verdana"/>
          <w:bCs/>
          <w:sz w:val="22"/>
          <w:szCs w:val="22"/>
        </w:rPr>
      </w:pPr>
      <w:r>
        <w:rPr>
          <w:rFonts w:ascii="Verdana" w:hAnsi="Verdana"/>
          <w:bCs/>
          <w:sz w:val="22"/>
          <w:szCs w:val="22"/>
        </w:rPr>
        <w:t xml:space="preserve">This program provides IT security audit services for </w:t>
      </w:r>
      <w:r w:rsidR="0077141A">
        <w:rPr>
          <w:rFonts w:ascii="Verdana" w:hAnsi="Verdana"/>
          <w:bCs/>
          <w:sz w:val="22"/>
          <w:szCs w:val="22"/>
        </w:rPr>
        <w:t>32</w:t>
      </w:r>
      <w:r>
        <w:rPr>
          <w:rFonts w:ascii="Verdana" w:hAnsi="Verdana"/>
          <w:bCs/>
          <w:sz w:val="22"/>
          <w:szCs w:val="22"/>
        </w:rPr>
        <w:t xml:space="preserve"> </w:t>
      </w:r>
      <w:r w:rsidR="00176C7B">
        <w:rPr>
          <w:rFonts w:ascii="Verdana" w:hAnsi="Verdana"/>
          <w:bCs/>
          <w:sz w:val="22"/>
          <w:szCs w:val="22"/>
        </w:rPr>
        <w:t xml:space="preserve">agencies, including providing assistance to </w:t>
      </w:r>
      <w:r>
        <w:rPr>
          <w:rFonts w:ascii="Verdana" w:hAnsi="Verdana"/>
          <w:bCs/>
          <w:sz w:val="22"/>
          <w:szCs w:val="22"/>
        </w:rPr>
        <w:t xml:space="preserve">develop </w:t>
      </w:r>
      <w:r w:rsidR="00176C7B">
        <w:rPr>
          <w:rFonts w:ascii="Verdana" w:hAnsi="Verdana"/>
          <w:bCs/>
          <w:sz w:val="22"/>
          <w:szCs w:val="22"/>
        </w:rPr>
        <w:t>agency</w:t>
      </w:r>
      <w:r>
        <w:rPr>
          <w:rFonts w:ascii="Verdana" w:hAnsi="Verdana"/>
          <w:bCs/>
          <w:sz w:val="22"/>
          <w:szCs w:val="22"/>
        </w:rPr>
        <w:t xml:space="preserve"> IT security audit plans, conduct IT security audits, and support agency efforts to create corrective action plans to address the issues found in the audits. In 2018, audit services completed </w:t>
      </w:r>
      <w:r w:rsidR="0077141A">
        <w:rPr>
          <w:rFonts w:ascii="Verdana" w:hAnsi="Verdana"/>
          <w:bCs/>
          <w:sz w:val="22"/>
          <w:szCs w:val="22"/>
        </w:rPr>
        <w:t>32</w:t>
      </w:r>
      <w:r w:rsidR="009B1D9F">
        <w:rPr>
          <w:rFonts w:ascii="Verdana" w:hAnsi="Verdana"/>
          <w:bCs/>
          <w:sz w:val="22"/>
          <w:szCs w:val="22"/>
        </w:rPr>
        <w:t xml:space="preserve"> IT security audit plans and </w:t>
      </w:r>
      <w:r>
        <w:rPr>
          <w:rFonts w:ascii="Verdana" w:hAnsi="Verdana"/>
          <w:bCs/>
          <w:sz w:val="22"/>
          <w:szCs w:val="22"/>
        </w:rPr>
        <w:t xml:space="preserve">audits of </w:t>
      </w:r>
      <w:r w:rsidR="0077141A">
        <w:rPr>
          <w:rFonts w:ascii="Verdana" w:hAnsi="Verdana"/>
          <w:bCs/>
          <w:sz w:val="22"/>
          <w:szCs w:val="22"/>
        </w:rPr>
        <w:t>50</w:t>
      </w:r>
      <w:r>
        <w:rPr>
          <w:rFonts w:ascii="Verdana" w:hAnsi="Verdana"/>
          <w:bCs/>
          <w:sz w:val="22"/>
          <w:szCs w:val="22"/>
        </w:rPr>
        <w:t xml:space="preserve"> IT security systems at </w:t>
      </w:r>
      <w:r w:rsidR="0077141A">
        <w:rPr>
          <w:rFonts w:ascii="Verdana" w:hAnsi="Verdana"/>
          <w:bCs/>
          <w:sz w:val="22"/>
          <w:szCs w:val="22"/>
        </w:rPr>
        <w:t xml:space="preserve">11 </w:t>
      </w:r>
      <w:r>
        <w:rPr>
          <w:rFonts w:ascii="Verdana" w:hAnsi="Verdana"/>
          <w:bCs/>
          <w:sz w:val="22"/>
          <w:szCs w:val="22"/>
        </w:rPr>
        <w:t xml:space="preserve">agencies in the commonwealth.  </w:t>
      </w:r>
    </w:p>
    <w:p w14:paraId="6B92E149" w14:textId="77777777" w:rsidR="00083FEE" w:rsidRDefault="00083FEE" w:rsidP="007537DC">
      <w:pPr>
        <w:rPr>
          <w:rFonts w:ascii="Verdana" w:hAnsi="Verdana"/>
          <w:bCs/>
          <w:sz w:val="22"/>
          <w:szCs w:val="22"/>
        </w:rPr>
      </w:pPr>
    </w:p>
    <w:p w14:paraId="10C4E932" w14:textId="61DF2480" w:rsidR="009B1D9F" w:rsidRDefault="009B1D9F" w:rsidP="007537DC">
      <w:pPr>
        <w:rPr>
          <w:rFonts w:ascii="Verdana" w:hAnsi="Verdana"/>
          <w:bCs/>
          <w:sz w:val="22"/>
          <w:szCs w:val="22"/>
        </w:rPr>
      </w:pPr>
      <w:r>
        <w:rPr>
          <w:rFonts w:ascii="Verdana" w:hAnsi="Verdana"/>
          <w:bCs/>
          <w:sz w:val="22"/>
          <w:szCs w:val="22"/>
        </w:rPr>
        <w:t>IT security audit plans</w:t>
      </w:r>
      <w:r w:rsidR="00176C7B">
        <w:rPr>
          <w:rFonts w:ascii="Verdana" w:hAnsi="Verdana"/>
          <w:bCs/>
          <w:sz w:val="22"/>
          <w:szCs w:val="22"/>
        </w:rPr>
        <w:t xml:space="preserve"> for agencies using the IT security audit services</w:t>
      </w:r>
      <w:r>
        <w:rPr>
          <w:rFonts w:ascii="Verdana" w:hAnsi="Verdana"/>
          <w:bCs/>
          <w:sz w:val="22"/>
          <w:szCs w:val="22"/>
        </w:rPr>
        <w:t xml:space="preserve"> improved by </w:t>
      </w:r>
      <w:r w:rsidR="00703DE1">
        <w:rPr>
          <w:rFonts w:ascii="Verdana" w:hAnsi="Verdana"/>
          <w:bCs/>
          <w:sz w:val="22"/>
          <w:szCs w:val="22"/>
        </w:rPr>
        <w:t>11%</w:t>
      </w:r>
      <w:r>
        <w:rPr>
          <w:rFonts w:ascii="Verdana" w:hAnsi="Verdana"/>
          <w:bCs/>
          <w:sz w:val="22"/>
          <w:szCs w:val="22"/>
        </w:rPr>
        <w:t xml:space="preserve"> from the previous year.  </w:t>
      </w:r>
    </w:p>
    <w:p w14:paraId="6D32D8A9" w14:textId="77777777" w:rsidR="009B1D9F" w:rsidRDefault="009B1D9F" w:rsidP="007537DC">
      <w:pPr>
        <w:rPr>
          <w:rFonts w:ascii="Verdana" w:hAnsi="Verdana"/>
          <w:bCs/>
          <w:sz w:val="22"/>
          <w:szCs w:val="22"/>
        </w:rPr>
      </w:pPr>
    </w:p>
    <w:p w14:paraId="14FF52C4" w14:textId="2F3BBE71" w:rsidR="009B1D9F" w:rsidRDefault="009B1D9F" w:rsidP="007537DC">
      <w:pPr>
        <w:rPr>
          <w:rFonts w:ascii="Verdana" w:hAnsi="Verdana"/>
          <w:bCs/>
          <w:sz w:val="22"/>
          <w:szCs w:val="22"/>
        </w:rPr>
      </w:pPr>
      <w:r>
        <w:rPr>
          <w:rFonts w:ascii="Verdana" w:hAnsi="Verdana"/>
          <w:bCs/>
          <w:sz w:val="22"/>
          <w:szCs w:val="22"/>
        </w:rPr>
        <w:t xml:space="preserve">Agencies are required to audit their sensitive systems at least once every three years. In 2017, these </w:t>
      </w:r>
      <w:r w:rsidR="004C743B">
        <w:rPr>
          <w:rFonts w:ascii="Verdana" w:hAnsi="Verdana"/>
          <w:bCs/>
          <w:sz w:val="22"/>
          <w:szCs w:val="22"/>
        </w:rPr>
        <w:t xml:space="preserve">audit services </w:t>
      </w:r>
      <w:r>
        <w:rPr>
          <w:rFonts w:ascii="Verdana" w:hAnsi="Verdana"/>
          <w:bCs/>
          <w:sz w:val="22"/>
          <w:szCs w:val="22"/>
        </w:rPr>
        <w:t xml:space="preserve">agencies </w:t>
      </w:r>
      <w:r w:rsidR="004C743B">
        <w:rPr>
          <w:rFonts w:ascii="Verdana" w:hAnsi="Verdana"/>
          <w:bCs/>
          <w:sz w:val="22"/>
          <w:szCs w:val="22"/>
        </w:rPr>
        <w:t xml:space="preserve">compliance </w:t>
      </w:r>
      <w:r>
        <w:rPr>
          <w:rFonts w:ascii="Verdana" w:hAnsi="Verdana"/>
          <w:bCs/>
          <w:sz w:val="22"/>
          <w:szCs w:val="22"/>
        </w:rPr>
        <w:t>averaged 54 percent</w:t>
      </w:r>
      <w:r w:rsidR="004C743B">
        <w:rPr>
          <w:rFonts w:ascii="Verdana" w:hAnsi="Verdana"/>
          <w:bCs/>
          <w:sz w:val="22"/>
          <w:szCs w:val="22"/>
        </w:rPr>
        <w:t xml:space="preserve">. </w:t>
      </w:r>
      <w:r w:rsidR="009C1FDF">
        <w:rPr>
          <w:rFonts w:ascii="Verdana" w:hAnsi="Verdana"/>
          <w:bCs/>
          <w:sz w:val="22"/>
          <w:szCs w:val="22"/>
        </w:rPr>
        <w:t xml:space="preserve">In 2018, agencies participating in the </w:t>
      </w:r>
      <w:r w:rsidR="00703DE1">
        <w:rPr>
          <w:rFonts w:ascii="Verdana" w:hAnsi="Verdana"/>
          <w:bCs/>
          <w:sz w:val="22"/>
          <w:szCs w:val="22"/>
        </w:rPr>
        <w:t>c</w:t>
      </w:r>
      <w:r w:rsidR="009C1FDF">
        <w:rPr>
          <w:rFonts w:ascii="Verdana" w:hAnsi="Verdana"/>
          <w:bCs/>
          <w:sz w:val="22"/>
          <w:szCs w:val="22"/>
        </w:rPr>
        <w:t xml:space="preserve">entralized </w:t>
      </w:r>
      <w:r w:rsidR="00703DE1">
        <w:rPr>
          <w:rFonts w:ascii="Verdana" w:hAnsi="Verdana"/>
          <w:bCs/>
          <w:sz w:val="22"/>
          <w:szCs w:val="22"/>
        </w:rPr>
        <w:t>a</w:t>
      </w:r>
      <w:r w:rsidR="009C1FDF">
        <w:rPr>
          <w:rFonts w:ascii="Verdana" w:hAnsi="Verdana"/>
          <w:bCs/>
          <w:sz w:val="22"/>
          <w:szCs w:val="22"/>
        </w:rPr>
        <w:t xml:space="preserve">udit </w:t>
      </w:r>
      <w:r w:rsidR="00703DE1">
        <w:rPr>
          <w:rFonts w:ascii="Verdana" w:hAnsi="Verdana"/>
          <w:bCs/>
          <w:sz w:val="22"/>
          <w:szCs w:val="22"/>
        </w:rPr>
        <w:t>s</w:t>
      </w:r>
      <w:r w:rsidR="009C1FDF">
        <w:rPr>
          <w:rFonts w:ascii="Verdana" w:hAnsi="Verdana"/>
          <w:bCs/>
          <w:sz w:val="22"/>
          <w:szCs w:val="22"/>
        </w:rPr>
        <w:t>ervices were able to show auditing compliance of 92</w:t>
      </w:r>
      <w:r w:rsidR="00F34EA2">
        <w:rPr>
          <w:rFonts w:ascii="Verdana" w:hAnsi="Verdana"/>
          <w:bCs/>
          <w:sz w:val="22"/>
          <w:szCs w:val="22"/>
        </w:rPr>
        <w:t>%</w:t>
      </w:r>
      <w:r w:rsidR="009C1FDF">
        <w:rPr>
          <w:rFonts w:ascii="Verdana" w:hAnsi="Verdana"/>
          <w:bCs/>
          <w:sz w:val="22"/>
          <w:szCs w:val="22"/>
        </w:rPr>
        <w:t>.</w:t>
      </w:r>
    </w:p>
    <w:p w14:paraId="32C17D1B" w14:textId="77777777" w:rsidR="009B1D9F" w:rsidRDefault="009B1D9F" w:rsidP="007537DC">
      <w:pPr>
        <w:rPr>
          <w:rFonts w:ascii="Verdana" w:hAnsi="Verdana"/>
          <w:bCs/>
          <w:sz w:val="22"/>
          <w:szCs w:val="22"/>
        </w:rPr>
      </w:pPr>
    </w:p>
    <w:p w14:paraId="6633823A" w14:textId="34EC0327" w:rsidR="009B1D9F" w:rsidRDefault="004C743B" w:rsidP="004C743B">
      <w:pPr>
        <w:jc w:val="center"/>
        <w:rPr>
          <w:rFonts w:ascii="Verdana" w:hAnsi="Verdana"/>
          <w:bCs/>
          <w:sz w:val="22"/>
          <w:szCs w:val="22"/>
        </w:rPr>
      </w:pPr>
      <w:r>
        <w:rPr>
          <w:noProof/>
        </w:rPr>
        <w:drawing>
          <wp:inline distT="0" distB="0" distL="0" distR="0" wp14:anchorId="5D41B214" wp14:editId="7C78D278">
            <wp:extent cx="5153025" cy="28003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644BC5D" w14:textId="77777777" w:rsidR="009B1D9F" w:rsidRDefault="009B1D9F" w:rsidP="007537DC">
      <w:pPr>
        <w:rPr>
          <w:rFonts w:ascii="Verdana" w:hAnsi="Verdana"/>
          <w:bCs/>
          <w:sz w:val="22"/>
          <w:szCs w:val="22"/>
        </w:rPr>
      </w:pPr>
    </w:p>
    <w:p w14:paraId="13E3FC21" w14:textId="7D4AD710" w:rsidR="004009C6" w:rsidRPr="004C10C9" w:rsidRDefault="007537DC" w:rsidP="007537DC">
      <w:pPr>
        <w:rPr>
          <w:rFonts w:ascii="Verdana" w:hAnsi="Verdana"/>
          <w:bCs/>
          <w:sz w:val="22"/>
          <w:szCs w:val="22"/>
        </w:rPr>
      </w:pPr>
      <w:r w:rsidRPr="004C10C9">
        <w:rPr>
          <w:rFonts w:ascii="Verdana" w:hAnsi="Verdana"/>
          <w:bCs/>
          <w:sz w:val="22"/>
          <w:szCs w:val="22"/>
        </w:rPr>
        <w:t xml:space="preserve">After </w:t>
      </w:r>
      <w:r w:rsidR="00AA2C7D">
        <w:rPr>
          <w:rFonts w:ascii="Verdana" w:hAnsi="Verdana"/>
          <w:bCs/>
          <w:sz w:val="22"/>
          <w:szCs w:val="22"/>
        </w:rPr>
        <w:t>audits are completed</w:t>
      </w:r>
      <w:r w:rsidRPr="004C10C9">
        <w:rPr>
          <w:rFonts w:ascii="Verdana" w:hAnsi="Verdana"/>
          <w:bCs/>
          <w:sz w:val="22"/>
          <w:szCs w:val="22"/>
        </w:rPr>
        <w:t xml:space="preserve">, </w:t>
      </w:r>
      <w:r w:rsidR="00142541">
        <w:rPr>
          <w:rFonts w:ascii="Verdana" w:hAnsi="Verdana"/>
          <w:bCs/>
          <w:sz w:val="22"/>
          <w:szCs w:val="22"/>
        </w:rPr>
        <w:t>c</w:t>
      </w:r>
      <w:r w:rsidR="004C10C9" w:rsidRPr="004C10C9">
        <w:rPr>
          <w:rFonts w:ascii="Verdana" w:hAnsi="Verdana"/>
          <w:bCs/>
          <w:sz w:val="22"/>
          <w:szCs w:val="22"/>
        </w:rPr>
        <w:t xml:space="preserve">entralized IT </w:t>
      </w:r>
      <w:r w:rsidR="00142541">
        <w:rPr>
          <w:rFonts w:ascii="Verdana" w:hAnsi="Verdana"/>
          <w:bCs/>
          <w:sz w:val="22"/>
          <w:szCs w:val="22"/>
        </w:rPr>
        <w:t>a</w:t>
      </w:r>
      <w:r w:rsidR="004C10C9" w:rsidRPr="004C10C9">
        <w:rPr>
          <w:rFonts w:ascii="Verdana" w:hAnsi="Verdana"/>
          <w:bCs/>
          <w:sz w:val="22"/>
          <w:szCs w:val="22"/>
        </w:rPr>
        <w:t xml:space="preserve">udit </w:t>
      </w:r>
      <w:r w:rsidR="00142541">
        <w:rPr>
          <w:rFonts w:ascii="Verdana" w:hAnsi="Verdana"/>
          <w:bCs/>
          <w:sz w:val="22"/>
          <w:szCs w:val="22"/>
        </w:rPr>
        <w:t>s</w:t>
      </w:r>
      <w:r w:rsidR="004C10C9" w:rsidRPr="004C10C9">
        <w:rPr>
          <w:rFonts w:ascii="Verdana" w:hAnsi="Verdana"/>
          <w:bCs/>
          <w:sz w:val="22"/>
          <w:szCs w:val="22"/>
        </w:rPr>
        <w:t>ervice</w:t>
      </w:r>
      <w:r w:rsidR="004C10C9">
        <w:rPr>
          <w:rFonts w:ascii="Verdana" w:hAnsi="Verdana"/>
          <w:bCs/>
          <w:sz w:val="22"/>
          <w:szCs w:val="22"/>
        </w:rPr>
        <w:t>s</w:t>
      </w:r>
      <w:r w:rsidR="004C10C9" w:rsidRPr="004C10C9">
        <w:rPr>
          <w:rFonts w:ascii="Verdana" w:hAnsi="Verdana"/>
          <w:bCs/>
          <w:sz w:val="22"/>
          <w:szCs w:val="22"/>
        </w:rPr>
        <w:t xml:space="preserve"> </w:t>
      </w:r>
      <w:r w:rsidRPr="004C10C9">
        <w:rPr>
          <w:rFonts w:ascii="Verdana" w:hAnsi="Verdana"/>
          <w:bCs/>
          <w:sz w:val="22"/>
          <w:szCs w:val="22"/>
        </w:rPr>
        <w:t xml:space="preserve">continues to work with the agencies to advise them on </w:t>
      </w:r>
      <w:r w:rsidR="00142541">
        <w:rPr>
          <w:rFonts w:ascii="Verdana" w:hAnsi="Verdana"/>
          <w:bCs/>
          <w:sz w:val="22"/>
          <w:szCs w:val="22"/>
        </w:rPr>
        <w:t>c</w:t>
      </w:r>
      <w:r w:rsidRPr="004C10C9">
        <w:rPr>
          <w:rFonts w:ascii="Verdana" w:hAnsi="Verdana"/>
          <w:bCs/>
          <w:sz w:val="22"/>
          <w:szCs w:val="22"/>
        </w:rPr>
        <w:t xml:space="preserve">orrective </w:t>
      </w:r>
      <w:r w:rsidR="00142541">
        <w:rPr>
          <w:rFonts w:ascii="Verdana" w:hAnsi="Verdana"/>
          <w:bCs/>
          <w:sz w:val="22"/>
          <w:szCs w:val="22"/>
        </w:rPr>
        <w:t>a</w:t>
      </w:r>
      <w:r w:rsidRPr="004C10C9">
        <w:rPr>
          <w:rFonts w:ascii="Verdana" w:hAnsi="Verdana"/>
          <w:bCs/>
          <w:sz w:val="22"/>
          <w:szCs w:val="22"/>
        </w:rPr>
        <w:t xml:space="preserve">ction </w:t>
      </w:r>
      <w:r w:rsidR="00142541">
        <w:rPr>
          <w:rFonts w:ascii="Verdana" w:hAnsi="Verdana"/>
          <w:bCs/>
          <w:sz w:val="22"/>
          <w:szCs w:val="22"/>
        </w:rPr>
        <w:t>p</w:t>
      </w:r>
      <w:r w:rsidRPr="004C10C9">
        <w:rPr>
          <w:rFonts w:ascii="Verdana" w:hAnsi="Verdana"/>
          <w:bCs/>
          <w:sz w:val="22"/>
          <w:szCs w:val="22"/>
        </w:rPr>
        <w:t>lans and scheduling of future audits</w:t>
      </w:r>
      <w:r w:rsidRPr="004C10C9">
        <w:t xml:space="preserve">. </w:t>
      </w:r>
    </w:p>
    <w:p w14:paraId="00CDA285" w14:textId="77777777" w:rsidR="004009C6" w:rsidRPr="004C10C9" w:rsidRDefault="004009C6" w:rsidP="007537DC">
      <w:pPr>
        <w:rPr>
          <w:rFonts w:ascii="Verdana" w:hAnsi="Verdana"/>
          <w:bCs/>
          <w:sz w:val="22"/>
          <w:szCs w:val="22"/>
        </w:rPr>
      </w:pPr>
    </w:p>
    <w:p w14:paraId="7579F644" w14:textId="70DD87A2" w:rsidR="00C42145" w:rsidRDefault="004009C6" w:rsidP="007537DC">
      <w:pPr>
        <w:rPr>
          <w:rFonts w:ascii="Verdana" w:hAnsi="Verdana"/>
          <w:bCs/>
          <w:sz w:val="22"/>
          <w:szCs w:val="22"/>
        </w:rPr>
      </w:pPr>
      <w:r w:rsidRPr="004C10C9">
        <w:rPr>
          <w:rFonts w:ascii="Verdana" w:hAnsi="Verdana"/>
          <w:bCs/>
          <w:sz w:val="22"/>
          <w:szCs w:val="22"/>
        </w:rPr>
        <w:t xml:space="preserve">Agencies </w:t>
      </w:r>
      <w:r w:rsidR="00397C7A" w:rsidRPr="004C10C9">
        <w:rPr>
          <w:rFonts w:ascii="Verdana" w:hAnsi="Verdana"/>
          <w:bCs/>
          <w:sz w:val="22"/>
          <w:szCs w:val="22"/>
        </w:rPr>
        <w:t xml:space="preserve">using </w:t>
      </w:r>
      <w:r w:rsidR="004C10C9" w:rsidRPr="004C10C9">
        <w:rPr>
          <w:rFonts w:ascii="Verdana" w:hAnsi="Verdana"/>
          <w:bCs/>
          <w:sz w:val="22"/>
          <w:szCs w:val="22"/>
        </w:rPr>
        <w:t xml:space="preserve">the </w:t>
      </w:r>
      <w:r w:rsidR="00142541">
        <w:rPr>
          <w:rFonts w:ascii="Verdana" w:hAnsi="Verdana"/>
          <w:bCs/>
          <w:sz w:val="22"/>
          <w:szCs w:val="22"/>
        </w:rPr>
        <w:t>c</w:t>
      </w:r>
      <w:r w:rsidR="004C10C9" w:rsidRPr="004C10C9">
        <w:rPr>
          <w:rFonts w:ascii="Verdana" w:hAnsi="Verdana"/>
          <w:bCs/>
          <w:sz w:val="22"/>
          <w:szCs w:val="22"/>
        </w:rPr>
        <w:t xml:space="preserve">entralized </w:t>
      </w:r>
      <w:r w:rsidR="00397C7A" w:rsidRPr="004C10C9">
        <w:rPr>
          <w:rFonts w:ascii="Verdana" w:hAnsi="Verdana"/>
          <w:bCs/>
          <w:sz w:val="22"/>
          <w:szCs w:val="22"/>
        </w:rPr>
        <w:t xml:space="preserve">IT </w:t>
      </w:r>
      <w:r w:rsidR="00142541">
        <w:rPr>
          <w:rFonts w:ascii="Verdana" w:hAnsi="Verdana"/>
          <w:bCs/>
          <w:sz w:val="22"/>
          <w:szCs w:val="22"/>
        </w:rPr>
        <w:t>a</w:t>
      </w:r>
      <w:r w:rsidR="00397C7A" w:rsidRPr="004C10C9">
        <w:rPr>
          <w:rFonts w:ascii="Verdana" w:hAnsi="Verdana"/>
          <w:bCs/>
          <w:sz w:val="22"/>
          <w:szCs w:val="22"/>
        </w:rPr>
        <w:t xml:space="preserve">udit </w:t>
      </w:r>
      <w:r w:rsidR="00142541">
        <w:rPr>
          <w:rFonts w:ascii="Verdana" w:hAnsi="Verdana"/>
          <w:bCs/>
          <w:sz w:val="22"/>
          <w:szCs w:val="22"/>
        </w:rPr>
        <w:t>s</w:t>
      </w:r>
      <w:r w:rsidRPr="004C10C9">
        <w:rPr>
          <w:rFonts w:ascii="Verdana" w:hAnsi="Verdana"/>
          <w:bCs/>
          <w:sz w:val="22"/>
          <w:szCs w:val="22"/>
        </w:rPr>
        <w:t xml:space="preserve">ervice </w:t>
      </w:r>
      <w:r w:rsidR="004C10C9" w:rsidRPr="004C10C9">
        <w:rPr>
          <w:rFonts w:ascii="Verdana" w:hAnsi="Verdana"/>
          <w:bCs/>
          <w:sz w:val="22"/>
          <w:szCs w:val="22"/>
        </w:rPr>
        <w:t>have shown a</w:t>
      </w:r>
      <w:r w:rsidRPr="004C10C9">
        <w:rPr>
          <w:rFonts w:ascii="Verdana" w:hAnsi="Verdana"/>
          <w:bCs/>
          <w:sz w:val="22"/>
          <w:szCs w:val="22"/>
        </w:rPr>
        <w:t xml:space="preserve"> marked improvement in the percentag</w:t>
      </w:r>
      <w:r w:rsidR="004D155B" w:rsidRPr="004C10C9">
        <w:rPr>
          <w:rFonts w:ascii="Verdana" w:hAnsi="Verdana"/>
          <w:bCs/>
          <w:sz w:val="22"/>
          <w:szCs w:val="22"/>
        </w:rPr>
        <w:t xml:space="preserve">e of sensitive systems that </w:t>
      </w:r>
      <w:r w:rsidR="004C10C9">
        <w:rPr>
          <w:rFonts w:ascii="Verdana" w:hAnsi="Verdana"/>
          <w:bCs/>
          <w:sz w:val="22"/>
          <w:szCs w:val="22"/>
        </w:rPr>
        <w:t>are</w:t>
      </w:r>
      <w:r w:rsidR="004D155B" w:rsidRPr="004C10C9">
        <w:rPr>
          <w:rFonts w:ascii="Verdana" w:hAnsi="Verdana"/>
          <w:bCs/>
          <w:sz w:val="22"/>
          <w:szCs w:val="22"/>
        </w:rPr>
        <w:t xml:space="preserve"> audited. </w:t>
      </w:r>
      <w:r w:rsidR="00397C7A" w:rsidRPr="004C10C9">
        <w:rPr>
          <w:rFonts w:ascii="Verdana" w:hAnsi="Verdana"/>
          <w:bCs/>
          <w:sz w:val="22"/>
          <w:szCs w:val="22"/>
        </w:rPr>
        <w:t>B</w:t>
      </w:r>
      <w:r w:rsidR="004D155B" w:rsidRPr="004C10C9">
        <w:rPr>
          <w:rFonts w:ascii="Verdana" w:hAnsi="Verdana"/>
          <w:bCs/>
          <w:sz w:val="22"/>
          <w:szCs w:val="22"/>
        </w:rPr>
        <w:t xml:space="preserve">ased on the audits that are </w:t>
      </w:r>
      <w:r w:rsidR="00397C7A" w:rsidRPr="004C10C9">
        <w:rPr>
          <w:rFonts w:ascii="Verdana" w:hAnsi="Verdana"/>
          <w:bCs/>
          <w:sz w:val="22"/>
          <w:szCs w:val="22"/>
        </w:rPr>
        <w:t>currently</w:t>
      </w:r>
      <w:r w:rsidR="004D155B" w:rsidRPr="004C10C9">
        <w:rPr>
          <w:rFonts w:ascii="Verdana" w:hAnsi="Verdana"/>
          <w:bCs/>
          <w:sz w:val="22"/>
          <w:szCs w:val="22"/>
        </w:rPr>
        <w:t xml:space="preserve"> scheduled, agencies that are served by VITA IT </w:t>
      </w:r>
      <w:r w:rsidR="00F76D35" w:rsidRPr="004C10C9">
        <w:rPr>
          <w:rFonts w:ascii="Verdana" w:hAnsi="Verdana"/>
          <w:bCs/>
          <w:sz w:val="22"/>
          <w:szCs w:val="22"/>
        </w:rPr>
        <w:t>s</w:t>
      </w:r>
      <w:r w:rsidR="004D155B" w:rsidRPr="004C10C9">
        <w:rPr>
          <w:rFonts w:ascii="Verdana" w:hAnsi="Verdana"/>
          <w:bCs/>
          <w:sz w:val="22"/>
          <w:szCs w:val="22"/>
        </w:rPr>
        <w:t xml:space="preserve">ecurity </w:t>
      </w:r>
      <w:r w:rsidR="00F76D35" w:rsidRPr="004C10C9">
        <w:rPr>
          <w:rFonts w:ascii="Verdana" w:hAnsi="Verdana"/>
          <w:bCs/>
          <w:sz w:val="22"/>
          <w:szCs w:val="22"/>
        </w:rPr>
        <w:t>a</w:t>
      </w:r>
      <w:r w:rsidR="004D155B" w:rsidRPr="004C10C9">
        <w:rPr>
          <w:rFonts w:ascii="Verdana" w:hAnsi="Verdana"/>
          <w:bCs/>
          <w:sz w:val="22"/>
          <w:szCs w:val="22"/>
        </w:rPr>
        <w:t xml:space="preserve">udit </w:t>
      </w:r>
      <w:r w:rsidR="00F76D35" w:rsidRPr="004C10C9">
        <w:rPr>
          <w:rFonts w:ascii="Verdana" w:hAnsi="Verdana"/>
          <w:bCs/>
          <w:sz w:val="22"/>
          <w:szCs w:val="22"/>
        </w:rPr>
        <w:t>s</w:t>
      </w:r>
      <w:r w:rsidR="004D155B" w:rsidRPr="004C10C9">
        <w:rPr>
          <w:rFonts w:ascii="Verdana" w:hAnsi="Verdana"/>
          <w:bCs/>
          <w:sz w:val="22"/>
          <w:szCs w:val="22"/>
        </w:rPr>
        <w:t>e</w:t>
      </w:r>
      <w:r w:rsidR="00397C7A" w:rsidRPr="004C10C9">
        <w:rPr>
          <w:rFonts w:ascii="Verdana" w:hAnsi="Verdana"/>
          <w:bCs/>
          <w:sz w:val="22"/>
          <w:szCs w:val="22"/>
        </w:rPr>
        <w:t>rvices are projected to improve</w:t>
      </w:r>
      <w:r w:rsidR="004D155B" w:rsidRPr="004C10C9">
        <w:rPr>
          <w:rFonts w:ascii="Verdana" w:hAnsi="Verdana"/>
          <w:bCs/>
          <w:sz w:val="22"/>
          <w:szCs w:val="22"/>
        </w:rPr>
        <w:t xml:space="preserve"> their IT security audit complianc</w:t>
      </w:r>
      <w:r w:rsidR="00397C7A" w:rsidRPr="004C10C9">
        <w:rPr>
          <w:rFonts w:ascii="Verdana" w:hAnsi="Verdana"/>
          <w:bCs/>
          <w:sz w:val="22"/>
          <w:szCs w:val="22"/>
        </w:rPr>
        <w:t>e metrics and should have fully</w:t>
      </w:r>
      <w:r w:rsidR="004D155B" w:rsidRPr="004C10C9">
        <w:rPr>
          <w:rFonts w:ascii="Verdana" w:hAnsi="Verdana"/>
          <w:bCs/>
          <w:sz w:val="22"/>
          <w:szCs w:val="22"/>
        </w:rPr>
        <w:t xml:space="preserve"> compliant audit programs by 2020. This will provide further assurance that </w:t>
      </w:r>
      <w:r w:rsidR="00397C7A" w:rsidRPr="004C10C9">
        <w:rPr>
          <w:rFonts w:ascii="Verdana" w:hAnsi="Verdana"/>
          <w:bCs/>
          <w:sz w:val="22"/>
          <w:szCs w:val="22"/>
        </w:rPr>
        <w:t>agencies</w:t>
      </w:r>
      <w:r w:rsidR="004D155B" w:rsidRPr="004C10C9">
        <w:rPr>
          <w:rFonts w:ascii="Verdana" w:hAnsi="Verdana"/>
          <w:bCs/>
          <w:sz w:val="22"/>
          <w:szCs w:val="22"/>
        </w:rPr>
        <w:t xml:space="preserve"> are aware of any IT security issues related to their sensitive system</w:t>
      </w:r>
      <w:r w:rsidR="004C10C9" w:rsidRPr="004C10C9">
        <w:rPr>
          <w:rFonts w:ascii="Verdana" w:hAnsi="Verdana"/>
          <w:bCs/>
          <w:sz w:val="22"/>
          <w:szCs w:val="22"/>
        </w:rPr>
        <w:t>s</w:t>
      </w:r>
      <w:r w:rsidR="004D155B" w:rsidRPr="004C10C9">
        <w:rPr>
          <w:rFonts w:ascii="Verdana" w:hAnsi="Verdana"/>
          <w:bCs/>
          <w:sz w:val="22"/>
          <w:szCs w:val="22"/>
        </w:rPr>
        <w:t xml:space="preserve"> and </w:t>
      </w:r>
      <w:r w:rsidR="004C10C9">
        <w:rPr>
          <w:rFonts w:ascii="Verdana" w:hAnsi="Verdana"/>
          <w:bCs/>
          <w:sz w:val="22"/>
          <w:szCs w:val="22"/>
        </w:rPr>
        <w:t xml:space="preserve">are able to </w:t>
      </w:r>
      <w:r w:rsidR="004D155B" w:rsidRPr="004C10C9">
        <w:rPr>
          <w:rFonts w:ascii="Verdana" w:hAnsi="Verdana"/>
          <w:bCs/>
          <w:sz w:val="22"/>
          <w:szCs w:val="22"/>
        </w:rPr>
        <w:t xml:space="preserve">develop corrective action plans to address any </w:t>
      </w:r>
      <w:r w:rsidR="004C10C9">
        <w:rPr>
          <w:rFonts w:ascii="Verdana" w:hAnsi="Verdana"/>
          <w:bCs/>
          <w:sz w:val="22"/>
          <w:szCs w:val="22"/>
        </w:rPr>
        <w:t xml:space="preserve">security </w:t>
      </w:r>
      <w:r w:rsidR="004D155B" w:rsidRPr="004C10C9">
        <w:rPr>
          <w:rFonts w:ascii="Verdana" w:hAnsi="Verdana"/>
          <w:bCs/>
          <w:sz w:val="22"/>
          <w:szCs w:val="22"/>
        </w:rPr>
        <w:t>concerns identified.</w:t>
      </w:r>
      <w:r w:rsidR="00C42145">
        <w:rPr>
          <w:rFonts w:ascii="Verdana" w:hAnsi="Verdana"/>
          <w:bCs/>
          <w:sz w:val="22"/>
          <w:szCs w:val="22"/>
        </w:rPr>
        <w:t xml:space="preserve">  </w:t>
      </w:r>
    </w:p>
    <w:p w14:paraId="32FE4568" w14:textId="77777777" w:rsidR="007A1023" w:rsidRDefault="007A1023" w:rsidP="007537DC">
      <w:pPr>
        <w:rPr>
          <w:rFonts w:ascii="Verdana" w:hAnsi="Verdana"/>
          <w:bCs/>
          <w:sz w:val="22"/>
          <w:szCs w:val="22"/>
        </w:rPr>
      </w:pPr>
    </w:p>
    <w:p w14:paraId="1FC6C824" w14:textId="0199EE3C" w:rsidR="00083FEE" w:rsidRDefault="00A5010E" w:rsidP="003B60CC">
      <w:pPr>
        <w:jc w:val="center"/>
        <w:rPr>
          <w:rFonts w:ascii="Verdana" w:hAnsi="Verdana"/>
          <w:b/>
          <w:bCs/>
          <w:sz w:val="22"/>
          <w:szCs w:val="22"/>
          <w:highlight w:val="yellow"/>
        </w:rPr>
      </w:pPr>
      <w:r>
        <w:rPr>
          <w:noProof/>
        </w:rPr>
        <w:drawing>
          <wp:inline distT="0" distB="0" distL="0" distR="0" wp14:anchorId="55FA447C" wp14:editId="53B1CF88">
            <wp:extent cx="5981700" cy="2867025"/>
            <wp:effectExtent l="0" t="0" r="0" b="0"/>
            <wp:docPr id="703" name="Chart 7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B5A8A42" w14:textId="77777777" w:rsidR="00083FEE" w:rsidRDefault="00083FEE" w:rsidP="007537DC">
      <w:pPr>
        <w:rPr>
          <w:rFonts w:ascii="Verdana" w:hAnsi="Verdana"/>
          <w:b/>
          <w:bCs/>
          <w:sz w:val="22"/>
          <w:szCs w:val="22"/>
          <w:highlight w:val="yellow"/>
        </w:rPr>
      </w:pPr>
    </w:p>
    <w:p w14:paraId="0E3E0E55" w14:textId="7DA9544C" w:rsidR="007537DC" w:rsidRPr="003B60CC" w:rsidRDefault="00787833" w:rsidP="007537DC">
      <w:pPr>
        <w:rPr>
          <w:rFonts w:ascii="Verdana" w:hAnsi="Verdana"/>
          <w:bCs/>
          <w:sz w:val="22"/>
          <w:szCs w:val="22"/>
        </w:rPr>
      </w:pPr>
      <w:r w:rsidRPr="00110482">
        <w:rPr>
          <w:rFonts w:ascii="Verdana" w:hAnsi="Verdana"/>
          <w:bCs/>
          <w:sz w:val="22"/>
          <w:szCs w:val="22"/>
        </w:rPr>
        <w:t xml:space="preserve">IT </w:t>
      </w:r>
      <w:r w:rsidR="00F76D35" w:rsidRPr="00110482">
        <w:rPr>
          <w:rFonts w:ascii="Verdana" w:hAnsi="Verdana"/>
          <w:bCs/>
          <w:sz w:val="22"/>
          <w:szCs w:val="22"/>
        </w:rPr>
        <w:t>a</w:t>
      </w:r>
      <w:r w:rsidRPr="00110482">
        <w:rPr>
          <w:rFonts w:ascii="Verdana" w:hAnsi="Verdana"/>
          <w:bCs/>
          <w:sz w:val="22"/>
          <w:szCs w:val="22"/>
        </w:rPr>
        <w:t xml:space="preserve">udit </w:t>
      </w:r>
      <w:r w:rsidR="00F76D35" w:rsidRPr="00110482">
        <w:rPr>
          <w:rFonts w:ascii="Verdana" w:hAnsi="Verdana"/>
          <w:bCs/>
          <w:sz w:val="22"/>
          <w:szCs w:val="22"/>
        </w:rPr>
        <w:t>s</w:t>
      </w:r>
      <w:r w:rsidRPr="00110482">
        <w:rPr>
          <w:rFonts w:ascii="Verdana" w:hAnsi="Verdana"/>
          <w:bCs/>
          <w:sz w:val="22"/>
          <w:szCs w:val="22"/>
        </w:rPr>
        <w:t xml:space="preserve">ervices also </w:t>
      </w:r>
      <w:r w:rsidR="007537DC" w:rsidRPr="00110482">
        <w:rPr>
          <w:rFonts w:ascii="Verdana" w:hAnsi="Verdana"/>
          <w:bCs/>
          <w:sz w:val="22"/>
          <w:szCs w:val="22"/>
        </w:rPr>
        <w:t>work</w:t>
      </w:r>
      <w:r w:rsidRPr="00110482">
        <w:rPr>
          <w:rFonts w:ascii="Verdana" w:hAnsi="Verdana"/>
          <w:bCs/>
          <w:sz w:val="22"/>
          <w:szCs w:val="22"/>
        </w:rPr>
        <w:t>s</w:t>
      </w:r>
      <w:r w:rsidR="007537DC" w:rsidRPr="00110482">
        <w:rPr>
          <w:rFonts w:ascii="Verdana" w:hAnsi="Verdana"/>
          <w:bCs/>
          <w:sz w:val="22"/>
          <w:szCs w:val="22"/>
        </w:rPr>
        <w:t xml:space="preserve"> closely with the ISO service, maintaining professional segregation of information gathered, but sharing knowledge and insight of client applications, environments</w:t>
      </w:r>
      <w:r w:rsidR="00142541">
        <w:rPr>
          <w:rFonts w:ascii="Verdana" w:hAnsi="Verdana"/>
          <w:bCs/>
          <w:sz w:val="22"/>
          <w:szCs w:val="22"/>
        </w:rPr>
        <w:t>\</w:t>
      </w:r>
      <w:r w:rsidR="007537DC" w:rsidRPr="00110482">
        <w:rPr>
          <w:rFonts w:ascii="Verdana" w:hAnsi="Verdana"/>
          <w:bCs/>
          <w:sz w:val="22"/>
          <w:szCs w:val="22"/>
        </w:rPr>
        <w:t xml:space="preserve"> and challenges</w:t>
      </w:r>
      <w:r w:rsidRPr="00110482">
        <w:rPr>
          <w:rFonts w:ascii="Verdana" w:hAnsi="Verdana"/>
          <w:bCs/>
          <w:sz w:val="22"/>
          <w:szCs w:val="22"/>
        </w:rPr>
        <w:t xml:space="preserve"> to further promote the security of the commonwealth’s information</w:t>
      </w:r>
      <w:r w:rsidR="007537DC" w:rsidRPr="003B60CC">
        <w:rPr>
          <w:rFonts w:ascii="Verdana" w:hAnsi="Verdana"/>
          <w:bCs/>
          <w:sz w:val="22"/>
          <w:szCs w:val="22"/>
        </w:rPr>
        <w:t>.</w:t>
      </w:r>
    </w:p>
    <w:p w14:paraId="179D4498" w14:textId="60654C84" w:rsidR="0085568C" w:rsidRPr="003B60CC" w:rsidRDefault="000C206A" w:rsidP="0085568C">
      <w:pPr>
        <w:pStyle w:val="Heading2"/>
        <w:rPr>
          <w:sz w:val="22"/>
          <w:szCs w:val="22"/>
        </w:rPr>
      </w:pPr>
      <w:bookmarkStart w:id="13" w:name="_Toc14262276"/>
      <w:r w:rsidRPr="003B60CC">
        <w:rPr>
          <w:sz w:val="22"/>
          <w:szCs w:val="22"/>
        </w:rPr>
        <w:t xml:space="preserve">ISO </w:t>
      </w:r>
      <w:r w:rsidR="00F76D35" w:rsidRPr="003B60CC">
        <w:rPr>
          <w:sz w:val="22"/>
          <w:szCs w:val="22"/>
        </w:rPr>
        <w:t>s</w:t>
      </w:r>
      <w:r w:rsidRPr="003B60CC">
        <w:rPr>
          <w:sz w:val="22"/>
          <w:szCs w:val="22"/>
        </w:rPr>
        <w:t>ervices</w:t>
      </w:r>
      <w:bookmarkEnd w:id="13"/>
    </w:p>
    <w:p w14:paraId="0EBA7020" w14:textId="6413F0F3" w:rsidR="00D00946" w:rsidRDefault="004C10C9" w:rsidP="00A70037">
      <w:pPr>
        <w:rPr>
          <w:rFonts w:ascii="Verdana" w:hAnsi="Verdana"/>
          <w:sz w:val="22"/>
        </w:rPr>
      </w:pPr>
      <w:r>
        <w:rPr>
          <w:rFonts w:ascii="Verdana" w:hAnsi="Verdana"/>
          <w:color w:val="222222"/>
          <w:sz w:val="22"/>
        </w:rPr>
        <w:t xml:space="preserve">Centralized </w:t>
      </w:r>
      <w:r w:rsidR="00504A48">
        <w:rPr>
          <w:rFonts w:ascii="Verdana" w:hAnsi="Verdana"/>
          <w:color w:val="222222"/>
          <w:sz w:val="22"/>
        </w:rPr>
        <w:t xml:space="preserve">ISO services </w:t>
      </w:r>
      <w:r>
        <w:rPr>
          <w:rFonts w:ascii="Verdana" w:hAnsi="Verdana"/>
          <w:color w:val="222222"/>
          <w:sz w:val="22"/>
        </w:rPr>
        <w:t xml:space="preserve">now </w:t>
      </w:r>
      <w:r w:rsidR="00504A48">
        <w:rPr>
          <w:rFonts w:ascii="Verdana" w:hAnsi="Verdana"/>
          <w:color w:val="222222"/>
          <w:sz w:val="22"/>
        </w:rPr>
        <w:t xml:space="preserve">supports </w:t>
      </w:r>
      <w:r w:rsidR="00D91F46">
        <w:rPr>
          <w:rFonts w:ascii="Verdana" w:hAnsi="Verdana"/>
          <w:sz w:val="22"/>
        </w:rPr>
        <w:t>33</w:t>
      </w:r>
      <w:r w:rsidR="00A70037" w:rsidRPr="003B60CC">
        <w:rPr>
          <w:rFonts w:ascii="Verdana" w:hAnsi="Verdana"/>
          <w:sz w:val="22"/>
        </w:rPr>
        <w:t xml:space="preserve"> </w:t>
      </w:r>
      <w:r w:rsidR="00092829">
        <w:rPr>
          <w:rFonts w:ascii="Verdana" w:hAnsi="Verdana"/>
          <w:sz w:val="22"/>
        </w:rPr>
        <w:t>customer agencies</w:t>
      </w:r>
      <w:r w:rsidR="005321C6">
        <w:rPr>
          <w:rFonts w:ascii="Verdana" w:hAnsi="Verdana"/>
          <w:sz w:val="22"/>
        </w:rPr>
        <w:t xml:space="preserve">, </w:t>
      </w:r>
      <w:r w:rsidR="00D91F46">
        <w:rPr>
          <w:rFonts w:ascii="Verdana" w:hAnsi="Verdana"/>
          <w:sz w:val="22"/>
        </w:rPr>
        <w:t xml:space="preserve">which is a slight increase </w:t>
      </w:r>
      <w:r w:rsidR="00A70037" w:rsidRPr="003B60CC">
        <w:rPr>
          <w:rFonts w:ascii="Verdana" w:hAnsi="Verdana"/>
          <w:sz w:val="22"/>
        </w:rPr>
        <w:t xml:space="preserve">from </w:t>
      </w:r>
      <w:r>
        <w:rPr>
          <w:rFonts w:ascii="Verdana" w:hAnsi="Verdana"/>
          <w:sz w:val="22"/>
        </w:rPr>
        <w:t>2017</w:t>
      </w:r>
      <w:r w:rsidR="00A70037" w:rsidRPr="003B60CC">
        <w:rPr>
          <w:rFonts w:ascii="Verdana" w:hAnsi="Verdana"/>
          <w:sz w:val="22"/>
        </w:rPr>
        <w:t xml:space="preserve">. </w:t>
      </w:r>
      <w:r w:rsidR="00D00946">
        <w:rPr>
          <w:rFonts w:ascii="Verdana" w:hAnsi="Verdana"/>
          <w:sz w:val="22"/>
        </w:rPr>
        <w:t>These age</w:t>
      </w:r>
      <w:r w:rsidR="005321C6">
        <w:rPr>
          <w:rFonts w:ascii="Verdana" w:hAnsi="Verdana"/>
          <w:sz w:val="22"/>
        </w:rPr>
        <w:t xml:space="preserve">ncies have made improvements in </w:t>
      </w:r>
      <w:r>
        <w:rPr>
          <w:rFonts w:ascii="Verdana" w:hAnsi="Verdana"/>
          <w:sz w:val="22"/>
        </w:rPr>
        <w:t>the number of business impact analyses (BIAs) performed</w:t>
      </w:r>
      <w:r w:rsidR="00D00946">
        <w:rPr>
          <w:rFonts w:ascii="Verdana" w:hAnsi="Verdana"/>
          <w:sz w:val="22"/>
        </w:rPr>
        <w:t xml:space="preserve">, </w:t>
      </w:r>
      <w:r w:rsidR="005321C6">
        <w:rPr>
          <w:rFonts w:ascii="Verdana" w:hAnsi="Verdana"/>
          <w:sz w:val="22"/>
        </w:rPr>
        <w:t xml:space="preserve">completing </w:t>
      </w:r>
      <w:r w:rsidR="00D00946">
        <w:rPr>
          <w:rFonts w:ascii="Verdana" w:hAnsi="Verdana"/>
          <w:sz w:val="22"/>
        </w:rPr>
        <w:t xml:space="preserve">risk assessment plans and </w:t>
      </w:r>
      <w:r w:rsidR="005321C6">
        <w:rPr>
          <w:rFonts w:ascii="Verdana" w:hAnsi="Verdana"/>
          <w:sz w:val="22"/>
        </w:rPr>
        <w:t xml:space="preserve">conducting </w:t>
      </w:r>
      <w:r>
        <w:rPr>
          <w:rFonts w:ascii="Verdana" w:hAnsi="Verdana"/>
          <w:sz w:val="22"/>
        </w:rPr>
        <w:t>IT system</w:t>
      </w:r>
      <w:r w:rsidR="005321C6">
        <w:rPr>
          <w:rFonts w:ascii="Verdana" w:hAnsi="Verdana"/>
          <w:sz w:val="22"/>
        </w:rPr>
        <w:t xml:space="preserve"> </w:t>
      </w:r>
      <w:r w:rsidR="00D00946">
        <w:rPr>
          <w:rFonts w:ascii="Verdana" w:hAnsi="Verdana"/>
          <w:sz w:val="22"/>
        </w:rPr>
        <w:t xml:space="preserve">risk </w:t>
      </w:r>
      <w:r w:rsidR="005321C6">
        <w:rPr>
          <w:rFonts w:ascii="Verdana" w:hAnsi="Verdana"/>
          <w:sz w:val="22"/>
        </w:rPr>
        <w:t>assessments</w:t>
      </w:r>
      <w:r w:rsidR="00D00946">
        <w:rPr>
          <w:rFonts w:ascii="Verdana" w:hAnsi="Verdana"/>
          <w:sz w:val="22"/>
        </w:rPr>
        <w:t xml:space="preserve"> since last year.  </w:t>
      </w:r>
    </w:p>
    <w:p w14:paraId="4FEFF7C1" w14:textId="77777777" w:rsidR="00D00946" w:rsidRDefault="00D00946" w:rsidP="00A70037">
      <w:pPr>
        <w:rPr>
          <w:rFonts w:ascii="Verdana" w:hAnsi="Verdana"/>
          <w:sz w:val="22"/>
        </w:rPr>
      </w:pPr>
    </w:p>
    <w:p w14:paraId="440076C3" w14:textId="2D5B75B8" w:rsidR="00D00946" w:rsidRDefault="00D00946" w:rsidP="00A70037">
      <w:pPr>
        <w:rPr>
          <w:rFonts w:ascii="Verdana" w:hAnsi="Verdana"/>
          <w:sz w:val="22"/>
        </w:rPr>
      </w:pPr>
      <w:r>
        <w:rPr>
          <w:rFonts w:ascii="Verdana" w:hAnsi="Verdana"/>
          <w:sz w:val="22"/>
        </w:rPr>
        <w:t>BIA</w:t>
      </w:r>
      <w:r w:rsidR="00671B11">
        <w:rPr>
          <w:rFonts w:ascii="Verdana" w:hAnsi="Verdana"/>
          <w:sz w:val="22"/>
        </w:rPr>
        <w:t xml:space="preserve"> metrics have increased. </w:t>
      </w:r>
      <w:r w:rsidR="00092829">
        <w:rPr>
          <w:rFonts w:ascii="Verdana" w:hAnsi="Verdana"/>
          <w:sz w:val="22"/>
        </w:rPr>
        <w:t xml:space="preserve">In 2018, the average </w:t>
      </w:r>
      <w:r w:rsidR="00D5215A">
        <w:rPr>
          <w:rFonts w:ascii="Verdana" w:hAnsi="Verdana"/>
          <w:sz w:val="22"/>
        </w:rPr>
        <w:t xml:space="preserve">ISO </w:t>
      </w:r>
      <w:r w:rsidR="00142541">
        <w:rPr>
          <w:rFonts w:ascii="Verdana" w:hAnsi="Verdana"/>
          <w:sz w:val="22"/>
        </w:rPr>
        <w:t>s</w:t>
      </w:r>
      <w:r w:rsidR="00D5215A">
        <w:rPr>
          <w:rFonts w:ascii="Verdana" w:hAnsi="Verdana"/>
          <w:sz w:val="22"/>
        </w:rPr>
        <w:t xml:space="preserve">ervices </w:t>
      </w:r>
      <w:r w:rsidR="00092829">
        <w:rPr>
          <w:rFonts w:ascii="Verdana" w:hAnsi="Verdana"/>
          <w:sz w:val="22"/>
        </w:rPr>
        <w:t xml:space="preserve">BIA completion percentage improved from 75% to 97%.  </w:t>
      </w:r>
    </w:p>
    <w:p w14:paraId="73BA9099" w14:textId="095513B8" w:rsidR="00D00946" w:rsidRDefault="00A5010E" w:rsidP="003B60CC">
      <w:pPr>
        <w:jc w:val="center"/>
        <w:rPr>
          <w:rFonts w:ascii="Verdana" w:hAnsi="Verdana"/>
          <w:sz w:val="22"/>
        </w:rPr>
      </w:pPr>
      <w:r>
        <w:rPr>
          <w:noProof/>
        </w:rPr>
        <w:drawing>
          <wp:inline distT="0" distB="0" distL="0" distR="0" wp14:anchorId="61941018" wp14:editId="7F7648A0">
            <wp:extent cx="4143375" cy="2505075"/>
            <wp:effectExtent l="0" t="0" r="0" b="0"/>
            <wp:docPr id="2048" name="Chart 20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D033845" w14:textId="77777777" w:rsidR="00092829" w:rsidRDefault="00092829" w:rsidP="00A70037">
      <w:pPr>
        <w:rPr>
          <w:rFonts w:ascii="Verdana" w:hAnsi="Verdana"/>
          <w:sz w:val="22"/>
        </w:rPr>
      </w:pPr>
    </w:p>
    <w:p w14:paraId="2F92A395" w14:textId="77777777" w:rsidR="00092829" w:rsidRDefault="00092829" w:rsidP="00A70037">
      <w:pPr>
        <w:rPr>
          <w:rFonts w:ascii="Verdana" w:hAnsi="Verdana"/>
          <w:sz w:val="22"/>
        </w:rPr>
      </w:pPr>
    </w:p>
    <w:p w14:paraId="6B7D1103" w14:textId="28BFE54B" w:rsidR="00671B11" w:rsidRDefault="001819DF" w:rsidP="00A70037">
      <w:pPr>
        <w:rPr>
          <w:rFonts w:ascii="Verdana" w:hAnsi="Verdana"/>
          <w:sz w:val="22"/>
        </w:rPr>
      </w:pPr>
      <w:r>
        <w:rPr>
          <w:rFonts w:ascii="Verdana" w:hAnsi="Verdana"/>
          <w:sz w:val="22"/>
        </w:rPr>
        <w:t xml:space="preserve">There was a 29% increase in the completion of risk assessment plans for the ISO </w:t>
      </w:r>
      <w:r w:rsidR="00142541">
        <w:rPr>
          <w:rFonts w:ascii="Verdana" w:hAnsi="Verdana"/>
          <w:sz w:val="22"/>
        </w:rPr>
        <w:t>s</w:t>
      </w:r>
      <w:r>
        <w:rPr>
          <w:rFonts w:ascii="Verdana" w:hAnsi="Verdana"/>
          <w:sz w:val="22"/>
        </w:rPr>
        <w:t xml:space="preserve">ervices customer agencies.  </w:t>
      </w:r>
    </w:p>
    <w:p w14:paraId="207EE4B9" w14:textId="2011D2FA" w:rsidR="00671B11" w:rsidRDefault="00671B11" w:rsidP="00092829">
      <w:pPr>
        <w:tabs>
          <w:tab w:val="left" w:pos="1641"/>
        </w:tabs>
        <w:rPr>
          <w:rFonts w:ascii="Verdana" w:hAnsi="Verdana"/>
          <w:sz w:val="22"/>
        </w:rPr>
      </w:pPr>
    </w:p>
    <w:p w14:paraId="76DC8801" w14:textId="0146E3A9" w:rsidR="00092829" w:rsidRDefault="008D31D8" w:rsidP="00541000">
      <w:pPr>
        <w:tabs>
          <w:tab w:val="left" w:pos="1641"/>
        </w:tabs>
        <w:jc w:val="center"/>
        <w:rPr>
          <w:rFonts w:ascii="Verdana" w:hAnsi="Verdana"/>
          <w:sz w:val="22"/>
        </w:rPr>
      </w:pPr>
      <w:r>
        <w:rPr>
          <w:noProof/>
        </w:rPr>
        <w:drawing>
          <wp:inline distT="0" distB="0" distL="0" distR="0" wp14:anchorId="17987AA7" wp14:editId="2DEDA3F0">
            <wp:extent cx="5743575" cy="2762250"/>
            <wp:effectExtent l="0" t="0" r="0" b="0"/>
            <wp:docPr id="687" name="Chart 6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E753E56" w14:textId="3EA4B958" w:rsidR="00092829" w:rsidRDefault="00092829" w:rsidP="00092829">
      <w:pPr>
        <w:tabs>
          <w:tab w:val="left" w:pos="1641"/>
        </w:tabs>
        <w:jc w:val="center"/>
        <w:rPr>
          <w:rFonts w:ascii="Verdana" w:hAnsi="Verdana"/>
          <w:sz w:val="22"/>
        </w:rPr>
      </w:pPr>
    </w:p>
    <w:p w14:paraId="53E3DBFF" w14:textId="08C30A87" w:rsidR="00671B11" w:rsidRPr="003B60CC" w:rsidRDefault="004C10C9" w:rsidP="00A70037">
      <w:pPr>
        <w:rPr>
          <w:rFonts w:ascii="Verdana" w:hAnsi="Verdana"/>
          <w:sz w:val="22"/>
        </w:rPr>
      </w:pPr>
      <w:r>
        <w:rPr>
          <w:rFonts w:ascii="Verdana" w:hAnsi="Verdana"/>
          <w:sz w:val="22"/>
          <w:highlight w:val="yellow"/>
        </w:rPr>
        <w:br/>
      </w:r>
      <w:r w:rsidRPr="003B60CC">
        <w:rPr>
          <w:rFonts w:ascii="Verdana" w:hAnsi="Verdana"/>
          <w:sz w:val="22"/>
        </w:rPr>
        <w:t>The number of IT r</w:t>
      </w:r>
      <w:r w:rsidR="00671B11" w:rsidRPr="003B60CC">
        <w:rPr>
          <w:rFonts w:ascii="Verdana" w:hAnsi="Verdana"/>
          <w:sz w:val="22"/>
        </w:rPr>
        <w:t xml:space="preserve">isk assessments </w:t>
      </w:r>
      <w:r w:rsidRPr="003B60CC">
        <w:rPr>
          <w:rFonts w:ascii="Verdana" w:hAnsi="Verdana"/>
          <w:sz w:val="22"/>
        </w:rPr>
        <w:t xml:space="preserve">developed </w:t>
      </w:r>
      <w:r w:rsidR="00671B11" w:rsidRPr="003B60CC">
        <w:rPr>
          <w:rFonts w:ascii="Verdana" w:hAnsi="Verdana"/>
          <w:sz w:val="22"/>
        </w:rPr>
        <w:t>for sensitive systems</w:t>
      </w:r>
      <w:r w:rsidR="00B15125" w:rsidRPr="003B60CC">
        <w:rPr>
          <w:rFonts w:ascii="Verdana" w:hAnsi="Verdana"/>
          <w:sz w:val="22"/>
        </w:rPr>
        <w:t xml:space="preserve"> increased for</w:t>
      </w:r>
      <w:r w:rsidRPr="003B60CC">
        <w:rPr>
          <w:rFonts w:ascii="Verdana" w:hAnsi="Verdana"/>
          <w:sz w:val="22"/>
        </w:rPr>
        <w:t xml:space="preserve"> significantly for agencies using the </w:t>
      </w:r>
      <w:r w:rsidR="00142541">
        <w:rPr>
          <w:rFonts w:ascii="Verdana" w:hAnsi="Verdana"/>
          <w:sz w:val="22"/>
        </w:rPr>
        <w:t>c</w:t>
      </w:r>
      <w:r w:rsidRPr="003B60CC">
        <w:rPr>
          <w:rFonts w:ascii="Verdana" w:hAnsi="Verdana"/>
          <w:sz w:val="22"/>
        </w:rPr>
        <w:t xml:space="preserve">entralized ISO </w:t>
      </w:r>
      <w:r w:rsidR="00142541">
        <w:rPr>
          <w:rFonts w:ascii="Verdana" w:hAnsi="Verdana"/>
          <w:sz w:val="22"/>
        </w:rPr>
        <w:t>s</w:t>
      </w:r>
      <w:r w:rsidRPr="003B60CC">
        <w:rPr>
          <w:rFonts w:ascii="Verdana" w:hAnsi="Verdana"/>
          <w:sz w:val="22"/>
        </w:rPr>
        <w:t>ervices.</w:t>
      </w:r>
      <w:r w:rsidR="00B15125" w:rsidRPr="003B60CC">
        <w:rPr>
          <w:rFonts w:ascii="Verdana" w:hAnsi="Verdana"/>
          <w:sz w:val="22"/>
        </w:rPr>
        <w:t xml:space="preserve"> </w:t>
      </w:r>
    </w:p>
    <w:p w14:paraId="574ACD17" w14:textId="77777777" w:rsidR="00D00946" w:rsidRPr="003B60CC" w:rsidRDefault="00D00946" w:rsidP="00A70037">
      <w:pPr>
        <w:rPr>
          <w:rFonts w:ascii="Verdana" w:hAnsi="Verdana"/>
          <w:sz w:val="22"/>
        </w:rPr>
      </w:pPr>
    </w:p>
    <w:p w14:paraId="4FBFA752" w14:textId="60D8F3E6" w:rsidR="0084280A" w:rsidRPr="003B60CC" w:rsidRDefault="00A70037" w:rsidP="00A70037">
      <w:pPr>
        <w:rPr>
          <w:rFonts w:ascii="Verdana" w:hAnsi="Verdana"/>
          <w:sz w:val="22"/>
        </w:rPr>
      </w:pPr>
      <w:r w:rsidRPr="003B60CC">
        <w:rPr>
          <w:rFonts w:ascii="Verdana" w:hAnsi="Verdana"/>
          <w:sz w:val="22"/>
        </w:rPr>
        <w:t xml:space="preserve">These agencies are all in various stages of their project plan, with some having been working with </w:t>
      </w:r>
      <w:r w:rsidR="00F76D35" w:rsidRPr="003B60CC">
        <w:rPr>
          <w:rFonts w:ascii="Verdana" w:hAnsi="Verdana"/>
          <w:sz w:val="22"/>
        </w:rPr>
        <w:t>d</w:t>
      </w:r>
      <w:r w:rsidRPr="003B60CC">
        <w:rPr>
          <w:rFonts w:ascii="Verdana" w:hAnsi="Verdana"/>
          <w:sz w:val="22"/>
        </w:rPr>
        <w:t>ivision staff on multiple levels of support. The past year focus has been to update and report on agency-specific business processes (</w:t>
      </w:r>
      <w:r w:rsidR="00F76D35" w:rsidRPr="003B60CC">
        <w:rPr>
          <w:rFonts w:ascii="Verdana" w:hAnsi="Verdana"/>
          <w:sz w:val="22"/>
        </w:rPr>
        <w:t>b</w:t>
      </w:r>
      <w:r w:rsidRPr="003B60CC">
        <w:rPr>
          <w:rFonts w:ascii="Verdana" w:hAnsi="Verdana"/>
          <w:sz w:val="22"/>
        </w:rPr>
        <w:t xml:space="preserve">usiness </w:t>
      </w:r>
      <w:r w:rsidR="00F76D35" w:rsidRPr="003B60CC">
        <w:rPr>
          <w:rFonts w:ascii="Verdana" w:hAnsi="Verdana"/>
          <w:sz w:val="22"/>
        </w:rPr>
        <w:t>i</w:t>
      </w:r>
      <w:r w:rsidRPr="003B60CC">
        <w:rPr>
          <w:rFonts w:ascii="Verdana" w:hAnsi="Verdana"/>
          <w:sz w:val="22"/>
        </w:rPr>
        <w:t xml:space="preserve">mpact </w:t>
      </w:r>
      <w:r w:rsidR="00F76D35" w:rsidRPr="003B60CC">
        <w:rPr>
          <w:rFonts w:ascii="Verdana" w:hAnsi="Verdana"/>
          <w:sz w:val="22"/>
        </w:rPr>
        <w:t>a</w:t>
      </w:r>
      <w:r w:rsidRPr="003B60CC">
        <w:rPr>
          <w:rFonts w:ascii="Verdana" w:hAnsi="Verdana"/>
          <w:sz w:val="22"/>
        </w:rPr>
        <w:t xml:space="preserve">nalysis), documenting IT </w:t>
      </w:r>
      <w:r w:rsidR="00F76D35" w:rsidRPr="003B60CC">
        <w:rPr>
          <w:rFonts w:ascii="Verdana" w:hAnsi="Verdana"/>
          <w:sz w:val="22"/>
        </w:rPr>
        <w:t>s</w:t>
      </w:r>
      <w:r w:rsidRPr="003B60CC">
        <w:rPr>
          <w:rFonts w:ascii="Verdana" w:hAnsi="Verdana"/>
          <w:sz w:val="22"/>
        </w:rPr>
        <w:t xml:space="preserve">ystem risk assessments, responding to IT </w:t>
      </w:r>
      <w:r w:rsidR="00F76D35" w:rsidRPr="003B60CC">
        <w:rPr>
          <w:rFonts w:ascii="Verdana" w:hAnsi="Verdana"/>
          <w:sz w:val="22"/>
        </w:rPr>
        <w:t>s</w:t>
      </w:r>
      <w:r w:rsidRPr="003B60CC">
        <w:rPr>
          <w:rFonts w:ascii="Verdana" w:hAnsi="Verdana"/>
          <w:sz w:val="22"/>
        </w:rPr>
        <w:t xml:space="preserve">ecurity </w:t>
      </w:r>
      <w:r w:rsidR="00F76D35" w:rsidRPr="003B60CC">
        <w:rPr>
          <w:rFonts w:ascii="Verdana" w:hAnsi="Verdana"/>
          <w:sz w:val="22"/>
        </w:rPr>
        <w:t>a</w:t>
      </w:r>
      <w:r w:rsidRPr="003B60CC">
        <w:rPr>
          <w:rFonts w:ascii="Verdana" w:hAnsi="Verdana"/>
          <w:sz w:val="22"/>
        </w:rPr>
        <w:t xml:space="preserve">udits, and developing agency-specific policies </w:t>
      </w:r>
      <w:r w:rsidR="00F76D35" w:rsidRPr="003B60CC">
        <w:rPr>
          <w:rFonts w:ascii="Verdana" w:hAnsi="Verdana"/>
          <w:sz w:val="22"/>
        </w:rPr>
        <w:t>a</w:t>
      </w:r>
      <w:r w:rsidRPr="003B60CC">
        <w:rPr>
          <w:rFonts w:ascii="Verdana" w:hAnsi="Verdana"/>
          <w:sz w:val="22"/>
        </w:rPr>
        <w:t xml:space="preserve">udits have been completed at </w:t>
      </w:r>
      <w:r w:rsidR="00F76D35" w:rsidRPr="003B60CC">
        <w:rPr>
          <w:rFonts w:ascii="Verdana" w:hAnsi="Verdana"/>
          <w:sz w:val="22"/>
        </w:rPr>
        <w:t xml:space="preserve">11 </w:t>
      </w:r>
      <w:r w:rsidRPr="003B60CC">
        <w:rPr>
          <w:rFonts w:ascii="Verdana" w:hAnsi="Verdana"/>
          <w:sz w:val="22"/>
        </w:rPr>
        <w:t xml:space="preserve">agencies. After an audit has been completed, we continue to work with the primary contact to advise them on </w:t>
      </w:r>
      <w:r w:rsidR="00F76D35" w:rsidRPr="003B60CC">
        <w:rPr>
          <w:rFonts w:ascii="Verdana" w:hAnsi="Verdana"/>
          <w:sz w:val="22"/>
        </w:rPr>
        <w:t>c</w:t>
      </w:r>
      <w:r w:rsidRPr="003B60CC">
        <w:rPr>
          <w:rFonts w:ascii="Verdana" w:hAnsi="Verdana"/>
          <w:sz w:val="22"/>
        </w:rPr>
        <w:t xml:space="preserve">orrective </w:t>
      </w:r>
      <w:r w:rsidR="00F76D35" w:rsidRPr="003B60CC">
        <w:rPr>
          <w:rFonts w:ascii="Verdana" w:hAnsi="Verdana"/>
          <w:sz w:val="22"/>
        </w:rPr>
        <w:t>a</w:t>
      </w:r>
      <w:r w:rsidRPr="003B60CC">
        <w:rPr>
          <w:rFonts w:ascii="Verdana" w:hAnsi="Verdana"/>
          <w:sz w:val="22"/>
        </w:rPr>
        <w:t xml:space="preserve">ction </w:t>
      </w:r>
      <w:r w:rsidR="00F76D35" w:rsidRPr="003B60CC">
        <w:rPr>
          <w:rFonts w:ascii="Verdana" w:hAnsi="Verdana"/>
          <w:sz w:val="22"/>
        </w:rPr>
        <w:t>p</w:t>
      </w:r>
      <w:r w:rsidRPr="003B60CC">
        <w:rPr>
          <w:rFonts w:ascii="Verdana" w:hAnsi="Verdana"/>
          <w:sz w:val="22"/>
        </w:rPr>
        <w:t>lans and scheduling of future audits.</w:t>
      </w:r>
      <w:r w:rsidR="004009C6" w:rsidRPr="003B60CC">
        <w:rPr>
          <w:rFonts w:ascii="Verdana" w:hAnsi="Verdana"/>
          <w:sz w:val="22"/>
        </w:rPr>
        <w:t xml:space="preserve"> </w:t>
      </w:r>
    </w:p>
    <w:p w14:paraId="66E9BDDE" w14:textId="77777777" w:rsidR="0084280A" w:rsidRPr="003B60CC" w:rsidRDefault="0084280A" w:rsidP="00A70037">
      <w:pPr>
        <w:rPr>
          <w:rFonts w:ascii="Verdana" w:hAnsi="Verdana"/>
          <w:sz w:val="22"/>
        </w:rPr>
      </w:pPr>
    </w:p>
    <w:p w14:paraId="32B98656" w14:textId="7068E03F" w:rsidR="00A26F46" w:rsidRPr="003B60CC" w:rsidRDefault="0084280A" w:rsidP="001F2E48">
      <w:pPr>
        <w:rPr>
          <w:rFonts w:ascii="Verdana" w:hAnsi="Verdana"/>
          <w:sz w:val="22"/>
        </w:rPr>
      </w:pPr>
      <w:r w:rsidRPr="003B60CC">
        <w:rPr>
          <w:rFonts w:ascii="Verdana" w:hAnsi="Verdana"/>
          <w:sz w:val="22"/>
        </w:rPr>
        <w:t xml:space="preserve">ISO </w:t>
      </w:r>
      <w:r w:rsidR="00F76D35" w:rsidRPr="003B60CC">
        <w:rPr>
          <w:rFonts w:ascii="Verdana" w:hAnsi="Verdana"/>
          <w:sz w:val="22"/>
        </w:rPr>
        <w:t>s</w:t>
      </w:r>
      <w:r w:rsidRPr="003B60CC">
        <w:rPr>
          <w:rFonts w:ascii="Verdana" w:hAnsi="Verdana"/>
          <w:sz w:val="22"/>
        </w:rPr>
        <w:t>ervices anticipates a significant improvement in the area of risk assessments</w:t>
      </w:r>
      <w:r w:rsidR="00D251EB" w:rsidRPr="003B60CC">
        <w:rPr>
          <w:rFonts w:ascii="Verdana" w:hAnsi="Verdana"/>
          <w:sz w:val="22"/>
        </w:rPr>
        <w:t xml:space="preserve">. Risk assessments, required by COV standards, help agencies identify, evaluate </w:t>
      </w:r>
      <w:r w:rsidRPr="003B60CC">
        <w:rPr>
          <w:rFonts w:ascii="Verdana" w:hAnsi="Verdana"/>
          <w:sz w:val="22"/>
        </w:rPr>
        <w:t>and prioritize risks and vulnerabilities</w:t>
      </w:r>
      <w:r w:rsidR="00D251EB" w:rsidRPr="003B60CC">
        <w:rPr>
          <w:rFonts w:ascii="Verdana" w:hAnsi="Verdana"/>
          <w:sz w:val="22"/>
        </w:rPr>
        <w:t xml:space="preserve"> in commonwealth systems. Agencies then </w:t>
      </w:r>
      <w:r w:rsidRPr="003B60CC">
        <w:rPr>
          <w:rFonts w:ascii="Verdana" w:hAnsi="Verdana"/>
          <w:sz w:val="22"/>
        </w:rPr>
        <w:t xml:space="preserve">develop risk </w:t>
      </w:r>
      <w:r w:rsidR="00261C5D" w:rsidRPr="003B60CC">
        <w:rPr>
          <w:rFonts w:ascii="Verdana" w:hAnsi="Verdana"/>
          <w:sz w:val="22"/>
        </w:rPr>
        <w:t>treatment</w:t>
      </w:r>
      <w:r w:rsidRPr="003B60CC">
        <w:rPr>
          <w:rFonts w:ascii="Verdana" w:hAnsi="Verdana"/>
          <w:sz w:val="22"/>
        </w:rPr>
        <w:t xml:space="preserve"> plans to address these concerns. Based on scheduled risk assessments, </w:t>
      </w:r>
      <w:r w:rsidR="00D251EB" w:rsidRPr="003B60CC">
        <w:rPr>
          <w:rFonts w:ascii="Verdana" w:hAnsi="Verdana"/>
          <w:sz w:val="22"/>
        </w:rPr>
        <w:t xml:space="preserve">ISO </w:t>
      </w:r>
      <w:r w:rsidR="00F76D35" w:rsidRPr="003B60CC">
        <w:rPr>
          <w:rFonts w:ascii="Verdana" w:hAnsi="Verdana"/>
          <w:sz w:val="22"/>
        </w:rPr>
        <w:t>s</w:t>
      </w:r>
      <w:r w:rsidR="00D251EB" w:rsidRPr="003B60CC">
        <w:rPr>
          <w:rFonts w:ascii="Verdana" w:hAnsi="Verdana"/>
          <w:sz w:val="22"/>
        </w:rPr>
        <w:t xml:space="preserve">ervices </w:t>
      </w:r>
      <w:r w:rsidR="0075096A" w:rsidRPr="003B60CC">
        <w:rPr>
          <w:rFonts w:ascii="Verdana" w:hAnsi="Verdana"/>
          <w:sz w:val="22"/>
        </w:rPr>
        <w:t>will complete</w:t>
      </w:r>
      <w:r w:rsidRPr="003B60CC">
        <w:rPr>
          <w:rFonts w:ascii="Verdana" w:hAnsi="Verdana"/>
          <w:sz w:val="22"/>
        </w:rPr>
        <w:t xml:space="preserve"> </w:t>
      </w:r>
      <w:r w:rsidR="00261C5D" w:rsidRPr="003B60CC">
        <w:rPr>
          <w:rFonts w:ascii="Verdana" w:hAnsi="Verdana"/>
          <w:sz w:val="22"/>
        </w:rPr>
        <w:t>nearly 100</w:t>
      </w:r>
      <w:r w:rsidR="002B7A20">
        <w:rPr>
          <w:rFonts w:ascii="Verdana" w:hAnsi="Verdana"/>
          <w:sz w:val="22"/>
        </w:rPr>
        <w:t>%</w:t>
      </w:r>
      <w:r w:rsidR="00666052" w:rsidRPr="003B60CC">
        <w:rPr>
          <w:rFonts w:ascii="Verdana" w:hAnsi="Verdana"/>
          <w:sz w:val="22"/>
        </w:rPr>
        <w:t xml:space="preserve"> </w:t>
      </w:r>
      <w:r w:rsidR="00261C5D" w:rsidRPr="003B60CC">
        <w:rPr>
          <w:rFonts w:ascii="Verdana" w:hAnsi="Verdana"/>
          <w:sz w:val="22"/>
        </w:rPr>
        <w:t xml:space="preserve">of </w:t>
      </w:r>
      <w:r w:rsidRPr="003B60CC">
        <w:rPr>
          <w:rFonts w:ascii="Verdana" w:hAnsi="Verdana"/>
          <w:sz w:val="22"/>
        </w:rPr>
        <w:t xml:space="preserve">risk assessments for </w:t>
      </w:r>
      <w:r w:rsidR="00261C5D" w:rsidRPr="003B60CC">
        <w:rPr>
          <w:rFonts w:ascii="Verdana" w:hAnsi="Verdana"/>
          <w:sz w:val="22"/>
        </w:rPr>
        <w:t xml:space="preserve">all </w:t>
      </w:r>
      <w:r w:rsidR="00D251EB" w:rsidRPr="003B60CC">
        <w:rPr>
          <w:rFonts w:ascii="Verdana" w:hAnsi="Verdana"/>
          <w:sz w:val="22"/>
        </w:rPr>
        <w:t xml:space="preserve">ISO centralized service </w:t>
      </w:r>
      <w:r w:rsidR="00261C5D" w:rsidRPr="003B60CC">
        <w:rPr>
          <w:rFonts w:ascii="Verdana" w:hAnsi="Verdana"/>
          <w:sz w:val="22"/>
        </w:rPr>
        <w:t xml:space="preserve">agency </w:t>
      </w:r>
      <w:r w:rsidR="00D251EB" w:rsidRPr="003B60CC">
        <w:rPr>
          <w:rFonts w:ascii="Verdana" w:hAnsi="Verdana"/>
          <w:sz w:val="22"/>
        </w:rPr>
        <w:t>sensitive</w:t>
      </w:r>
      <w:r w:rsidRPr="003B60CC">
        <w:rPr>
          <w:rFonts w:ascii="Verdana" w:hAnsi="Verdana"/>
          <w:sz w:val="22"/>
        </w:rPr>
        <w:t xml:space="preserve"> systems by 2020.</w:t>
      </w:r>
    </w:p>
    <w:p w14:paraId="1E88AE22" w14:textId="244A20F3" w:rsidR="0084280A" w:rsidRPr="008C0EE2" w:rsidRDefault="0084280A" w:rsidP="0084280A">
      <w:pPr>
        <w:jc w:val="center"/>
        <w:rPr>
          <w:rFonts w:ascii="Verdana" w:hAnsi="Verdana"/>
          <w:sz w:val="22"/>
          <w:highlight w:val="yellow"/>
        </w:rPr>
      </w:pPr>
    </w:p>
    <w:p w14:paraId="53CAEF2F" w14:textId="1FE23BDC" w:rsidR="0084280A" w:rsidRPr="008C0EE2" w:rsidRDefault="00915B29" w:rsidP="00541000">
      <w:pPr>
        <w:jc w:val="center"/>
        <w:rPr>
          <w:rFonts w:ascii="Verdana" w:hAnsi="Verdana"/>
          <w:sz w:val="22"/>
          <w:highlight w:val="yellow"/>
        </w:rPr>
      </w:pPr>
      <w:r>
        <w:rPr>
          <w:noProof/>
        </w:rPr>
        <w:drawing>
          <wp:inline distT="0" distB="0" distL="0" distR="0" wp14:anchorId="6A2ED291" wp14:editId="5C321CCA">
            <wp:extent cx="6209414" cy="3083442"/>
            <wp:effectExtent l="0" t="0" r="1270" b="3175"/>
            <wp:docPr id="2049" name="Chart 20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E99F51B" w14:textId="2E865D0A" w:rsidR="00D27B09" w:rsidRPr="008D31D8" w:rsidRDefault="003D7C38" w:rsidP="00D27B09">
      <w:pPr>
        <w:pStyle w:val="Heading2"/>
        <w:rPr>
          <w:sz w:val="22"/>
          <w:szCs w:val="22"/>
        </w:rPr>
      </w:pPr>
      <w:bookmarkStart w:id="14" w:name="_Toc14262277"/>
      <w:r w:rsidRPr="008D31D8">
        <w:rPr>
          <w:sz w:val="22"/>
          <w:szCs w:val="22"/>
        </w:rPr>
        <w:t xml:space="preserve">Web </w:t>
      </w:r>
      <w:r w:rsidR="00DC49EB">
        <w:rPr>
          <w:sz w:val="22"/>
          <w:szCs w:val="22"/>
        </w:rPr>
        <w:t>a</w:t>
      </w:r>
      <w:r w:rsidRPr="008D31D8">
        <w:rPr>
          <w:sz w:val="22"/>
          <w:szCs w:val="22"/>
        </w:rPr>
        <w:t xml:space="preserve">pplication </w:t>
      </w:r>
      <w:r w:rsidR="00DC49EB">
        <w:rPr>
          <w:sz w:val="22"/>
          <w:szCs w:val="22"/>
        </w:rPr>
        <w:t>v</w:t>
      </w:r>
      <w:r w:rsidR="003255EE" w:rsidRPr="008D31D8">
        <w:rPr>
          <w:sz w:val="22"/>
          <w:szCs w:val="22"/>
        </w:rPr>
        <w:t>ulnerability</w:t>
      </w:r>
      <w:r w:rsidR="000C206A" w:rsidRPr="008D31D8">
        <w:rPr>
          <w:sz w:val="22"/>
          <w:szCs w:val="22"/>
        </w:rPr>
        <w:t xml:space="preserve"> </w:t>
      </w:r>
      <w:r w:rsidR="00DC49EB">
        <w:rPr>
          <w:sz w:val="22"/>
          <w:szCs w:val="22"/>
        </w:rPr>
        <w:t>s</w:t>
      </w:r>
      <w:r w:rsidR="000C206A" w:rsidRPr="008D31D8">
        <w:rPr>
          <w:sz w:val="22"/>
          <w:szCs w:val="22"/>
        </w:rPr>
        <w:t xml:space="preserve">canning </w:t>
      </w:r>
      <w:r w:rsidR="00DC49EB">
        <w:rPr>
          <w:sz w:val="22"/>
          <w:szCs w:val="22"/>
        </w:rPr>
        <w:t>p</w:t>
      </w:r>
      <w:r w:rsidRPr="008D31D8">
        <w:rPr>
          <w:sz w:val="22"/>
          <w:szCs w:val="22"/>
        </w:rPr>
        <w:t>rogram</w:t>
      </w:r>
      <w:bookmarkEnd w:id="14"/>
    </w:p>
    <w:p w14:paraId="2BAB4420" w14:textId="7B88D5CC" w:rsidR="00D5215A" w:rsidRPr="008D31D8" w:rsidRDefault="00D5215A" w:rsidP="00D5215A">
      <w:pPr>
        <w:spacing w:after="200" w:line="276" w:lineRule="auto"/>
        <w:rPr>
          <w:rFonts w:ascii="Verdana" w:eastAsia="Calibri" w:hAnsi="Verdana" w:cs="Times New Roman"/>
          <w:color w:val="auto"/>
          <w:sz w:val="22"/>
          <w:szCs w:val="22"/>
        </w:rPr>
      </w:pPr>
      <w:r w:rsidRPr="008D31D8">
        <w:rPr>
          <w:rFonts w:ascii="Verdana" w:eastAsia="Calibri" w:hAnsi="Verdana" w:cs="Times New Roman"/>
          <w:color w:val="auto"/>
          <w:sz w:val="22"/>
          <w:szCs w:val="22"/>
        </w:rPr>
        <w:t xml:space="preserve">The scanning program continues to provide valuable insight into the existing web application vulnerabilities as well as the remediation efforts required to reduce risk to the commonwealth. </w:t>
      </w:r>
      <w:r w:rsidR="00585B74">
        <w:rPr>
          <w:rFonts w:ascii="Verdana" w:eastAsia="Calibri" w:hAnsi="Verdana" w:cs="Times New Roman"/>
          <w:color w:val="auto"/>
          <w:sz w:val="22"/>
          <w:szCs w:val="22"/>
        </w:rPr>
        <w:t>CSRM</w:t>
      </w:r>
      <w:r w:rsidR="00585B74" w:rsidRPr="008D31D8">
        <w:rPr>
          <w:rFonts w:ascii="Verdana" w:eastAsia="Calibri" w:hAnsi="Verdana" w:cs="Times New Roman"/>
          <w:color w:val="auto"/>
          <w:sz w:val="22"/>
          <w:szCs w:val="22"/>
        </w:rPr>
        <w:t xml:space="preserve"> </w:t>
      </w:r>
      <w:r w:rsidRPr="008D31D8">
        <w:rPr>
          <w:rFonts w:ascii="Verdana" w:eastAsia="Calibri" w:hAnsi="Verdana" w:cs="Times New Roman"/>
          <w:color w:val="auto"/>
          <w:sz w:val="22"/>
          <w:szCs w:val="22"/>
        </w:rPr>
        <w:t>continue</w:t>
      </w:r>
      <w:r w:rsidR="00585B74">
        <w:rPr>
          <w:rFonts w:ascii="Verdana" w:eastAsia="Calibri" w:hAnsi="Verdana" w:cs="Times New Roman"/>
          <w:color w:val="auto"/>
          <w:sz w:val="22"/>
          <w:szCs w:val="22"/>
        </w:rPr>
        <w:t>s</w:t>
      </w:r>
      <w:r w:rsidRPr="008D31D8">
        <w:rPr>
          <w:rFonts w:ascii="Verdana" w:eastAsia="Calibri" w:hAnsi="Verdana" w:cs="Times New Roman"/>
          <w:color w:val="auto"/>
          <w:sz w:val="22"/>
          <w:szCs w:val="22"/>
        </w:rPr>
        <w:t xml:space="preserve"> to assess all public</w:t>
      </w:r>
      <w:r w:rsidR="00DC49EB">
        <w:rPr>
          <w:rFonts w:ascii="Verdana" w:eastAsia="Calibri" w:hAnsi="Verdana" w:cs="Times New Roman"/>
          <w:color w:val="auto"/>
          <w:sz w:val="22"/>
          <w:szCs w:val="22"/>
        </w:rPr>
        <w:t>-</w:t>
      </w:r>
      <w:r w:rsidRPr="008D31D8">
        <w:rPr>
          <w:rFonts w:ascii="Verdana" w:eastAsia="Calibri" w:hAnsi="Verdana" w:cs="Times New Roman"/>
          <w:color w:val="auto"/>
          <w:sz w:val="22"/>
          <w:szCs w:val="22"/>
        </w:rPr>
        <w:t xml:space="preserve">facing sites and are adding all private sites containing sensitive data. </w:t>
      </w:r>
      <w:r w:rsidR="00585B74">
        <w:rPr>
          <w:rFonts w:ascii="Verdana" w:eastAsia="Calibri" w:hAnsi="Verdana" w:cs="Times New Roman"/>
          <w:color w:val="auto"/>
          <w:sz w:val="22"/>
          <w:szCs w:val="22"/>
        </w:rPr>
        <w:t>Additionally, CSRM</w:t>
      </w:r>
      <w:r w:rsidRPr="008D31D8">
        <w:rPr>
          <w:rFonts w:ascii="Verdana" w:eastAsia="Calibri" w:hAnsi="Verdana" w:cs="Times New Roman"/>
          <w:color w:val="auto"/>
          <w:sz w:val="22"/>
          <w:szCs w:val="22"/>
        </w:rPr>
        <w:t xml:space="preserve"> scan</w:t>
      </w:r>
      <w:r w:rsidR="00585B74">
        <w:rPr>
          <w:rFonts w:ascii="Verdana" w:eastAsia="Calibri" w:hAnsi="Verdana" w:cs="Times New Roman"/>
          <w:color w:val="auto"/>
          <w:sz w:val="22"/>
          <w:szCs w:val="22"/>
        </w:rPr>
        <w:t>s</w:t>
      </w:r>
      <w:r w:rsidRPr="008D31D8">
        <w:rPr>
          <w:rFonts w:ascii="Verdana" w:eastAsia="Calibri" w:hAnsi="Verdana" w:cs="Times New Roman"/>
          <w:color w:val="auto"/>
          <w:sz w:val="22"/>
          <w:szCs w:val="22"/>
        </w:rPr>
        <w:t xml:space="preserve"> the private sensitive sites with operating system level scans and are in the process of integrating application level scanning for all sensitive applications. </w:t>
      </w:r>
      <w:r w:rsidR="00585B74">
        <w:rPr>
          <w:rFonts w:ascii="Verdana" w:eastAsia="Calibri" w:hAnsi="Verdana" w:cs="Times New Roman"/>
          <w:color w:val="auto"/>
          <w:sz w:val="22"/>
          <w:szCs w:val="22"/>
        </w:rPr>
        <w:t>O</w:t>
      </w:r>
      <w:r w:rsidRPr="008D31D8">
        <w:rPr>
          <w:rFonts w:ascii="Verdana" w:eastAsia="Calibri" w:hAnsi="Verdana" w:cs="Times New Roman"/>
          <w:color w:val="auto"/>
          <w:sz w:val="22"/>
          <w:szCs w:val="22"/>
        </w:rPr>
        <w:t>ver 300 alert groups</w:t>
      </w:r>
      <w:r w:rsidR="00585B74">
        <w:rPr>
          <w:rFonts w:ascii="Verdana" w:eastAsia="Calibri" w:hAnsi="Verdana" w:cs="Times New Roman"/>
          <w:color w:val="auto"/>
          <w:sz w:val="22"/>
          <w:szCs w:val="22"/>
        </w:rPr>
        <w:t xml:space="preserve"> were consolidated</w:t>
      </w:r>
      <w:r w:rsidRPr="008D31D8">
        <w:rPr>
          <w:rFonts w:ascii="Verdana" w:eastAsia="Calibri" w:hAnsi="Verdana" w:cs="Times New Roman"/>
          <w:color w:val="auto"/>
          <w:sz w:val="22"/>
          <w:szCs w:val="22"/>
        </w:rPr>
        <w:t xml:space="preserve"> into eight common categories for analysis and ease of discussion.  </w:t>
      </w:r>
    </w:p>
    <w:tbl>
      <w:tblPr>
        <w:tblW w:w="4965" w:type="dxa"/>
        <w:tblInd w:w="93" w:type="dxa"/>
        <w:tblLook w:val="04A0" w:firstRow="1" w:lastRow="0" w:firstColumn="1" w:lastColumn="0" w:noHBand="0" w:noVBand="1"/>
      </w:tblPr>
      <w:tblGrid>
        <w:gridCol w:w="4965"/>
      </w:tblGrid>
      <w:tr w:rsidR="00D5215A" w:rsidRPr="00185D48" w14:paraId="021A254A" w14:textId="77777777" w:rsidTr="00D5215A">
        <w:trPr>
          <w:trHeight w:val="300"/>
        </w:trPr>
        <w:tc>
          <w:tcPr>
            <w:tcW w:w="4965" w:type="dxa"/>
            <w:tcBorders>
              <w:top w:val="nil"/>
              <w:left w:val="nil"/>
              <w:bottom w:val="nil"/>
              <w:right w:val="nil"/>
            </w:tcBorders>
            <w:shd w:val="clear" w:color="auto" w:fill="auto"/>
            <w:noWrap/>
            <w:vAlign w:val="bottom"/>
            <w:hideMark/>
          </w:tcPr>
          <w:p w14:paraId="6461417C" w14:textId="4990D5F4" w:rsidR="00D5215A" w:rsidRPr="008D31D8" w:rsidRDefault="00D5215A" w:rsidP="00D5215A">
            <w:pPr>
              <w:numPr>
                <w:ilvl w:val="0"/>
                <w:numId w:val="30"/>
              </w:numPr>
              <w:spacing w:after="200" w:line="276" w:lineRule="auto"/>
              <w:contextualSpacing/>
              <w:rPr>
                <w:rFonts w:ascii="Verdana" w:hAnsi="Verdana" w:cs="Calibri"/>
                <w:sz w:val="22"/>
                <w:szCs w:val="22"/>
              </w:rPr>
            </w:pPr>
            <w:r w:rsidRPr="008D31D8">
              <w:rPr>
                <w:rFonts w:ascii="Verdana" w:hAnsi="Verdana" w:cs="Calibri"/>
                <w:sz w:val="22"/>
                <w:szCs w:val="22"/>
              </w:rPr>
              <w:t xml:space="preserve">Client </w:t>
            </w:r>
            <w:r w:rsidR="00B25361">
              <w:rPr>
                <w:rFonts w:ascii="Verdana" w:hAnsi="Verdana" w:cs="Calibri"/>
                <w:sz w:val="22"/>
                <w:szCs w:val="22"/>
              </w:rPr>
              <w:t>a</w:t>
            </w:r>
            <w:r w:rsidRPr="008D31D8">
              <w:rPr>
                <w:rFonts w:ascii="Verdana" w:hAnsi="Verdana" w:cs="Calibri"/>
                <w:sz w:val="22"/>
                <w:szCs w:val="22"/>
              </w:rPr>
              <w:t>ttacks</w:t>
            </w:r>
          </w:p>
        </w:tc>
      </w:tr>
      <w:tr w:rsidR="00D5215A" w:rsidRPr="00185D48" w14:paraId="0BA9B20C" w14:textId="77777777" w:rsidTr="00D5215A">
        <w:trPr>
          <w:trHeight w:val="300"/>
        </w:trPr>
        <w:tc>
          <w:tcPr>
            <w:tcW w:w="4965" w:type="dxa"/>
            <w:tcBorders>
              <w:top w:val="nil"/>
              <w:left w:val="nil"/>
              <w:bottom w:val="nil"/>
              <w:right w:val="nil"/>
            </w:tcBorders>
            <w:shd w:val="clear" w:color="auto" w:fill="auto"/>
            <w:noWrap/>
            <w:vAlign w:val="bottom"/>
            <w:hideMark/>
          </w:tcPr>
          <w:p w14:paraId="4015494C" w14:textId="63BD1382" w:rsidR="00D5215A" w:rsidRPr="008D31D8" w:rsidRDefault="00D5215A" w:rsidP="00B25361">
            <w:pPr>
              <w:numPr>
                <w:ilvl w:val="0"/>
                <w:numId w:val="30"/>
              </w:numPr>
              <w:spacing w:after="200" w:line="276" w:lineRule="auto"/>
              <w:contextualSpacing/>
              <w:rPr>
                <w:rFonts w:ascii="Verdana" w:hAnsi="Verdana" w:cs="Calibri"/>
                <w:sz w:val="22"/>
                <w:szCs w:val="22"/>
              </w:rPr>
            </w:pPr>
            <w:r w:rsidRPr="008D31D8">
              <w:rPr>
                <w:rFonts w:ascii="Verdana" w:hAnsi="Verdana" w:cs="Calibri"/>
                <w:sz w:val="22"/>
                <w:szCs w:val="22"/>
              </w:rPr>
              <w:t>C</w:t>
            </w:r>
            <w:r w:rsidR="00B25361">
              <w:rPr>
                <w:rFonts w:ascii="Verdana" w:hAnsi="Verdana" w:cs="Calibri"/>
                <w:sz w:val="22"/>
                <w:szCs w:val="22"/>
              </w:rPr>
              <w:t>ontent management system (CMS)</w:t>
            </w:r>
            <w:r w:rsidRPr="008D31D8">
              <w:rPr>
                <w:rFonts w:ascii="Verdana" w:hAnsi="Verdana" w:cs="Calibri"/>
                <w:sz w:val="22"/>
                <w:szCs w:val="22"/>
              </w:rPr>
              <w:t>-</w:t>
            </w:r>
            <w:r w:rsidR="00B25361">
              <w:rPr>
                <w:rFonts w:ascii="Verdana" w:hAnsi="Verdana" w:cs="Calibri"/>
                <w:sz w:val="22"/>
                <w:szCs w:val="22"/>
              </w:rPr>
              <w:t>l</w:t>
            </w:r>
            <w:r w:rsidRPr="008D31D8">
              <w:rPr>
                <w:rFonts w:ascii="Verdana" w:hAnsi="Verdana" w:cs="Calibri"/>
                <w:sz w:val="22"/>
                <w:szCs w:val="22"/>
              </w:rPr>
              <w:t xml:space="preserve">acking </w:t>
            </w:r>
            <w:r w:rsidR="00B25361">
              <w:rPr>
                <w:rFonts w:ascii="Verdana" w:hAnsi="Verdana" w:cs="Calibri"/>
                <w:sz w:val="22"/>
                <w:szCs w:val="22"/>
              </w:rPr>
              <w:t>s</w:t>
            </w:r>
            <w:r w:rsidRPr="008D31D8">
              <w:rPr>
                <w:rFonts w:ascii="Verdana" w:hAnsi="Verdana" w:cs="Calibri"/>
                <w:sz w:val="22"/>
                <w:szCs w:val="22"/>
              </w:rPr>
              <w:t xml:space="preserve">ecurity </w:t>
            </w:r>
            <w:r w:rsidR="00B25361">
              <w:rPr>
                <w:rFonts w:ascii="Verdana" w:hAnsi="Verdana" w:cs="Calibri"/>
                <w:sz w:val="22"/>
                <w:szCs w:val="22"/>
              </w:rPr>
              <w:t>u</w:t>
            </w:r>
            <w:r w:rsidRPr="008D31D8">
              <w:rPr>
                <w:rFonts w:ascii="Verdana" w:hAnsi="Verdana" w:cs="Calibri"/>
                <w:sz w:val="22"/>
                <w:szCs w:val="22"/>
              </w:rPr>
              <w:t>pdates</w:t>
            </w:r>
          </w:p>
        </w:tc>
      </w:tr>
      <w:tr w:rsidR="00D5215A" w:rsidRPr="00185D48" w14:paraId="52B00268" w14:textId="77777777" w:rsidTr="00D5215A">
        <w:trPr>
          <w:trHeight w:val="300"/>
        </w:trPr>
        <w:tc>
          <w:tcPr>
            <w:tcW w:w="4965" w:type="dxa"/>
            <w:tcBorders>
              <w:top w:val="nil"/>
              <w:left w:val="nil"/>
              <w:bottom w:val="nil"/>
              <w:right w:val="nil"/>
            </w:tcBorders>
            <w:shd w:val="clear" w:color="auto" w:fill="auto"/>
            <w:noWrap/>
            <w:vAlign w:val="bottom"/>
            <w:hideMark/>
          </w:tcPr>
          <w:p w14:paraId="08201AC7" w14:textId="56F3924B" w:rsidR="00D5215A" w:rsidRPr="008D31D8" w:rsidRDefault="00D5215A" w:rsidP="00D5215A">
            <w:pPr>
              <w:numPr>
                <w:ilvl w:val="0"/>
                <w:numId w:val="30"/>
              </w:numPr>
              <w:spacing w:after="200" w:line="276" w:lineRule="auto"/>
              <w:contextualSpacing/>
              <w:rPr>
                <w:rFonts w:ascii="Verdana" w:hAnsi="Verdana" w:cs="Calibri"/>
                <w:sz w:val="22"/>
                <w:szCs w:val="22"/>
              </w:rPr>
            </w:pPr>
            <w:r w:rsidRPr="008D31D8">
              <w:rPr>
                <w:rFonts w:ascii="Verdana" w:hAnsi="Verdana" w:cs="Calibri"/>
                <w:sz w:val="22"/>
                <w:szCs w:val="22"/>
              </w:rPr>
              <w:t xml:space="preserve">Data </w:t>
            </w:r>
            <w:r w:rsidR="00B25361">
              <w:rPr>
                <w:rFonts w:ascii="Verdana" w:hAnsi="Verdana" w:cs="Calibri"/>
                <w:sz w:val="22"/>
                <w:szCs w:val="22"/>
              </w:rPr>
              <w:t>l</w:t>
            </w:r>
            <w:r w:rsidRPr="008D31D8">
              <w:rPr>
                <w:rFonts w:ascii="Verdana" w:hAnsi="Verdana" w:cs="Calibri"/>
                <w:sz w:val="22"/>
                <w:szCs w:val="22"/>
              </w:rPr>
              <w:t xml:space="preserve">oss </w:t>
            </w:r>
            <w:r w:rsidR="00B25361">
              <w:rPr>
                <w:rFonts w:ascii="Verdana" w:hAnsi="Verdana" w:cs="Calibri"/>
                <w:sz w:val="22"/>
                <w:szCs w:val="22"/>
              </w:rPr>
              <w:t>and</w:t>
            </w:r>
            <w:r w:rsidRPr="008D31D8">
              <w:rPr>
                <w:rFonts w:ascii="Verdana" w:hAnsi="Verdana" w:cs="Calibri"/>
                <w:sz w:val="22"/>
                <w:szCs w:val="22"/>
              </w:rPr>
              <w:t xml:space="preserve"> </w:t>
            </w:r>
            <w:r w:rsidR="00B25361">
              <w:rPr>
                <w:rFonts w:ascii="Verdana" w:hAnsi="Verdana" w:cs="Calibri"/>
                <w:sz w:val="22"/>
                <w:szCs w:val="22"/>
              </w:rPr>
              <w:t>c</w:t>
            </w:r>
            <w:r w:rsidRPr="008D31D8">
              <w:rPr>
                <w:rFonts w:ascii="Verdana" w:hAnsi="Verdana" w:cs="Calibri"/>
                <w:sz w:val="22"/>
                <w:szCs w:val="22"/>
              </w:rPr>
              <w:t>ompromise</w:t>
            </w:r>
          </w:p>
        </w:tc>
      </w:tr>
      <w:tr w:rsidR="00D5215A" w:rsidRPr="00185D48" w14:paraId="0BF44407" w14:textId="77777777" w:rsidTr="00D5215A">
        <w:trPr>
          <w:trHeight w:val="300"/>
        </w:trPr>
        <w:tc>
          <w:tcPr>
            <w:tcW w:w="4965" w:type="dxa"/>
            <w:tcBorders>
              <w:top w:val="nil"/>
              <w:left w:val="nil"/>
              <w:bottom w:val="nil"/>
              <w:right w:val="nil"/>
            </w:tcBorders>
            <w:shd w:val="clear" w:color="auto" w:fill="auto"/>
            <w:noWrap/>
            <w:vAlign w:val="bottom"/>
            <w:hideMark/>
          </w:tcPr>
          <w:p w14:paraId="45593FE0" w14:textId="59401E29" w:rsidR="00D5215A" w:rsidRPr="008D31D8" w:rsidRDefault="00D5215A" w:rsidP="00D5215A">
            <w:pPr>
              <w:numPr>
                <w:ilvl w:val="0"/>
                <w:numId w:val="30"/>
              </w:numPr>
              <w:spacing w:after="200" w:line="276" w:lineRule="auto"/>
              <w:contextualSpacing/>
              <w:rPr>
                <w:rFonts w:ascii="Verdana" w:hAnsi="Verdana" w:cs="Calibri"/>
                <w:sz w:val="22"/>
                <w:szCs w:val="22"/>
              </w:rPr>
            </w:pPr>
            <w:r w:rsidRPr="008D31D8">
              <w:rPr>
                <w:rFonts w:ascii="Verdana" w:hAnsi="Verdana" w:cs="Calibri"/>
                <w:sz w:val="22"/>
                <w:szCs w:val="22"/>
              </w:rPr>
              <w:t xml:space="preserve">Information </w:t>
            </w:r>
            <w:r w:rsidR="00B25361">
              <w:rPr>
                <w:rFonts w:ascii="Verdana" w:hAnsi="Verdana" w:cs="Calibri"/>
                <w:sz w:val="22"/>
                <w:szCs w:val="22"/>
              </w:rPr>
              <w:t>l</w:t>
            </w:r>
            <w:r w:rsidRPr="008D31D8">
              <w:rPr>
                <w:rFonts w:ascii="Verdana" w:hAnsi="Verdana" w:cs="Calibri"/>
                <w:sz w:val="22"/>
                <w:szCs w:val="22"/>
              </w:rPr>
              <w:t>eakage</w:t>
            </w:r>
          </w:p>
        </w:tc>
      </w:tr>
      <w:tr w:rsidR="00D5215A" w:rsidRPr="00185D48" w14:paraId="6F054FED" w14:textId="77777777" w:rsidTr="00D5215A">
        <w:trPr>
          <w:trHeight w:val="300"/>
        </w:trPr>
        <w:tc>
          <w:tcPr>
            <w:tcW w:w="4965" w:type="dxa"/>
            <w:tcBorders>
              <w:top w:val="nil"/>
              <w:left w:val="nil"/>
              <w:bottom w:val="nil"/>
              <w:right w:val="nil"/>
            </w:tcBorders>
            <w:shd w:val="clear" w:color="auto" w:fill="auto"/>
            <w:noWrap/>
            <w:vAlign w:val="bottom"/>
            <w:hideMark/>
          </w:tcPr>
          <w:p w14:paraId="34E2773E" w14:textId="124BA36A" w:rsidR="00D5215A" w:rsidRPr="008D31D8" w:rsidRDefault="00D5215A" w:rsidP="00D5215A">
            <w:pPr>
              <w:numPr>
                <w:ilvl w:val="0"/>
                <w:numId w:val="30"/>
              </w:numPr>
              <w:spacing w:after="200" w:line="276" w:lineRule="auto"/>
              <w:contextualSpacing/>
              <w:rPr>
                <w:rFonts w:ascii="Verdana" w:hAnsi="Verdana" w:cs="Calibri"/>
                <w:sz w:val="22"/>
                <w:szCs w:val="22"/>
              </w:rPr>
            </w:pPr>
            <w:r w:rsidRPr="008D31D8">
              <w:rPr>
                <w:rFonts w:ascii="Verdana" w:hAnsi="Verdana" w:cs="Calibri"/>
                <w:sz w:val="22"/>
                <w:szCs w:val="22"/>
              </w:rPr>
              <w:t xml:space="preserve">Lacking </w:t>
            </w:r>
            <w:r w:rsidR="00B25361">
              <w:rPr>
                <w:rFonts w:ascii="Verdana" w:hAnsi="Verdana" w:cs="Calibri"/>
                <w:sz w:val="22"/>
                <w:szCs w:val="22"/>
              </w:rPr>
              <w:t>s</w:t>
            </w:r>
            <w:r w:rsidRPr="008D31D8">
              <w:rPr>
                <w:rFonts w:ascii="Verdana" w:hAnsi="Verdana" w:cs="Calibri"/>
                <w:sz w:val="22"/>
                <w:szCs w:val="22"/>
              </w:rPr>
              <w:t xml:space="preserve">ecurity </w:t>
            </w:r>
            <w:r w:rsidR="00B25361">
              <w:rPr>
                <w:rFonts w:ascii="Verdana" w:hAnsi="Verdana" w:cs="Calibri"/>
                <w:sz w:val="22"/>
                <w:szCs w:val="22"/>
              </w:rPr>
              <w:t>u</w:t>
            </w:r>
            <w:r w:rsidRPr="008D31D8">
              <w:rPr>
                <w:rFonts w:ascii="Verdana" w:hAnsi="Verdana" w:cs="Calibri"/>
                <w:sz w:val="22"/>
                <w:szCs w:val="22"/>
              </w:rPr>
              <w:t>pdates</w:t>
            </w:r>
          </w:p>
        </w:tc>
      </w:tr>
      <w:tr w:rsidR="00D5215A" w:rsidRPr="00185D48" w14:paraId="332DE06B" w14:textId="77777777" w:rsidTr="00D5215A">
        <w:trPr>
          <w:trHeight w:val="300"/>
        </w:trPr>
        <w:tc>
          <w:tcPr>
            <w:tcW w:w="4965" w:type="dxa"/>
            <w:tcBorders>
              <w:top w:val="nil"/>
              <w:left w:val="nil"/>
              <w:bottom w:val="nil"/>
              <w:right w:val="nil"/>
            </w:tcBorders>
            <w:shd w:val="clear" w:color="auto" w:fill="auto"/>
            <w:noWrap/>
            <w:vAlign w:val="bottom"/>
            <w:hideMark/>
          </w:tcPr>
          <w:p w14:paraId="39D81F19" w14:textId="063E5C46" w:rsidR="00D5215A" w:rsidRPr="008D31D8" w:rsidRDefault="00D5215A" w:rsidP="00D5215A">
            <w:pPr>
              <w:numPr>
                <w:ilvl w:val="0"/>
                <w:numId w:val="30"/>
              </w:numPr>
              <w:spacing w:after="200" w:line="276" w:lineRule="auto"/>
              <w:contextualSpacing/>
              <w:rPr>
                <w:rFonts w:ascii="Verdana" w:hAnsi="Verdana" w:cs="Calibri"/>
                <w:sz w:val="22"/>
                <w:szCs w:val="22"/>
              </w:rPr>
            </w:pPr>
            <w:r w:rsidRPr="008D31D8">
              <w:rPr>
                <w:rFonts w:ascii="Verdana" w:hAnsi="Verdana" w:cs="Calibri"/>
                <w:sz w:val="22"/>
                <w:szCs w:val="22"/>
              </w:rPr>
              <w:t xml:space="preserve">Least </w:t>
            </w:r>
            <w:r w:rsidR="00B25361">
              <w:rPr>
                <w:rFonts w:ascii="Verdana" w:hAnsi="Verdana" w:cs="Calibri"/>
                <w:sz w:val="22"/>
                <w:szCs w:val="22"/>
              </w:rPr>
              <w:t>p</w:t>
            </w:r>
            <w:r w:rsidRPr="008D31D8">
              <w:rPr>
                <w:rFonts w:ascii="Verdana" w:hAnsi="Verdana" w:cs="Calibri"/>
                <w:sz w:val="22"/>
                <w:szCs w:val="22"/>
              </w:rPr>
              <w:t xml:space="preserve">rivilege </w:t>
            </w:r>
            <w:r w:rsidR="00B25361">
              <w:rPr>
                <w:rFonts w:ascii="Verdana" w:hAnsi="Verdana" w:cs="Calibri"/>
                <w:sz w:val="22"/>
                <w:szCs w:val="22"/>
              </w:rPr>
              <w:t>m</w:t>
            </w:r>
            <w:r w:rsidRPr="008D31D8">
              <w:rPr>
                <w:rFonts w:ascii="Verdana" w:hAnsi="Verdana" w:cs="Calibri"/>
                <w:sz w:val="22"/>
                <w:szCs w:val="22"/>
              </w:rPr>
              <w:t>issing</w:t>
            </w:r>
          </w:p>
        </w:tc>
      </w:tr>
      <w:tr w:rsidR="00D5215A" w:rsidRPr="00185D48" w14:paraId="69C8469C" w14:textId="77777777" w:rsidTr="00D5215A">
        <w:trPr>
          <w:trHeight w:val="300"/>
        </w:trPr>
        <w:tc>
          <w:tcPr>
            <w:tcW w:w="4965" w:type="dxa"/>
            <w:tcBorders>
              <w:top w:val="nil"/>
              <w:left w:val="nil"/>
              <w:bottom w:val="nil"/>
              <w:right w:val="nil"/>
            </w:tcBorders>
            <w:shd w:val="clear" w:color="auto" w:fill="auto"/>
            <w:noWrap/>
            <w:vAlign w:val="bottom"/>
            <w:hideMark/>
          </w:tcPr>
          <w:p w14:paraId="020736A7" w14:textId="763CDD5E" w:rsidR="00D5215A" w:rsidRPr="008D31D8" w:rsidRDefault="00D5215A" w:rsidP="00D5215A">
            <w:pPr>
              <w:numPr>
                <w:ilvl w:val="0"/>
                <w:numId w:val="30"/>
              </w:numPr>
              <w:spacing w:after="200" w:line="276" w:lineRule="auto"/>
              <w:contextualSpacing/>
              <w:rPr>
                <w:rFonts w:ascii="Verdana" w:hAnsi="Verdana" w:cs="Calibri"/>
                <w:sz w:val="22"/>
                <w:szCs w:val="22"/>
              </w:rPr>
            </w:pPr>
            <w:r w:rsidRPr="008D31D8">
              <w:rPr>
                <w:rFonts w:ascii="Verdana" w:hAnsi="Verdana" w:cs="Calibri"/>
                <w:sz w:val="22"/>
                <w:szCs w:val="22"/>
              </w:rPr>
              <w:t xml:space="preserve">Secure </w:t>
            </w:r>
            <w:r w:rsidR="00B25361">
              <w:rPr>
                <w:rFonts w:ascii="Verdana" w:hAnsi="Verdana" w:cs="Calibri"/>
                <w:sz w:val="22"/>
                <w:szCs w:val="22"/>
              </w:rPr>
              <w:t>d</w:t>
            </w:r>
            <w:r w:rsidRPr="008D31D8">
              <w:rPr>
                <w:rFonts w:ascii="Verdana" w:hAnsi="Verdana" w:cs="Calibri"/>
                <w:sz w:val="22"/>
                <w:szCs w:val="22"/>
              </w:rPr>
              <w:t xml:space="preserve">ata </w:t>
            </w:r>
            <w:r w:rsidR="00B25361">
              <w:rPr>
                <w:rFonts w:ascii="Verdana" w:hAnsi="Verdana" w:cs="Calibri"/>
                <w:sz w:val="22"/>
                <w:szCs w:val="22"/>
              </w:rPr>
              <w:t>t</w:t>
            </w:r>
            <w:r w:rsidRPr="008D31D8">
              <w:rPr>
                <w:rFonts w:ascii="Verdana" w:hAnsi="Verdana" w:cs="Calibri"/>
                <w:sz w:val="22"/>
                <w:szCs w:val="22"/>
              </w:rPr>
              <w:t>ransmission</w:t>
            </w:r>
          </w:p>
        </w:tc>
      </w:tr>
      <w:tr w:rsidR="00D5215A" w:rsidRPr="00185D48" w14:paraId="7D735F82" w14:textId="77777777" w:rsidTr="00D5215A">
        <w:trPr>
          <w:trHeight w:val="300"/>
        </w:trPr>
        <w:tc>
          <w:tcPr>
            <w:tcW w:w="4965" w:type="dxa"/>
            <w:tcBorders>
              <w:top w:val="nil"/>
              <w:left w:val="nil"/>
              <w:bottom w:val="nil"/>
              <w:right w:val="nil"/>
            </w:tcBorders>
            <w:shd w:val="clear" w:color="auto" w:fill="auto"/>
            <w:noWrap/>
            <w:vAlign w:val="bottom"/>
            <w:hideMark/>
          </w:tcPr>
          <w:p w14:paraId="4349B361" w14:textId="18055636" w:rsidR="00D5215A" w:rsidRPr="008D31D8" w:rsidRDefault="00D5215A" w:rsidP="00D5215A">
            <w:pPr>
              <w:numPr>
                <w:ilvl w:val="0"/>
                <w:numId w:val="30"/>
              </w:numPr>
              <w:spacing w:after="200" w:line="276" w:lineRule="auto"/>
              <w:contextualSpacing/>
              <w:rPr>
                <w:rFonts w:ascii="Verdana" w:hAnsi="Verdana" w:cs="Calibri"/>
                <w:sz w:val="22"/>
                <w:szCs w:val="22"/>
              </w:rPr>
            </w:pPr>
            <w:r w:rsidRPr="008D31D8">
              <w:rPr>
                <w:rFonts w:ascii="Verdana" w:hAnsi="Verdana" w:cs="Calibri"/>
                <w:sz w:val="22"/>
                <w:szCs w:val="22"/>
              </w:rPr>
              <w:t xml:space="preserve">Security </w:t>
            </w:r>
            <w:r w:rsidR="00B25361">
              <w:rPr>
                <w:rFonts w:ascii="Verdana" w:hAnsi="Verdana" w:cs="Calibri"/>
                <w:sz w:val="22"/>
                <w:szCs w:val="22"/>
              </w:rPr>
              <w:t>m</w:t>
            </w:r>
            <w:r w:rsidRPr="008D31D8">
              <w:rPr>
                <w:rFonts w:ascii="Verdana" w:hAnsi="Verdana" w:cs="Calibri"/>
                <w:sz w:val="22"/>
                <w:szCs w:val="22"/>
              </w:rPr>
              <w:t>isconfiguration</w:t>
            </w:r>
          </w:p>
        </w:tc>
      </w:tr>
    </w:tbl>
    <w:p w14:paraId="4E24052C" w14:textId="77777777" w:rsidR="00D5215A" w:rsidRPr="008D31D8" w:rsidRDefault="00D5215A" w:rsidP="00D5215A">
      <w:pPr>
        <w:spacing w:after="200" w:line="276" w:lineRule="auto"/>
        <w:rPr>
          <w:rFonts w:ascii="Verdana" w:eastAsia="Calibri" w:hAnsi="Verdana" w:cs="Times New Roman"/>
          <w:color w:val="auto"/>
          <w:sz w:val="22"/>
          <w:szCs w:val="22"/>
        </w:rPr>
      </w:pPr>
    </w:p>
    <w:p w14:paraId="56E74811" w14:textId="5CB4CB77" w:rsidR="00D5215A" w:rsidRPr="008D31D8" w:rsidRDefault="00D5215A" w:rsidP="00D5215A">
      <w:pPr>
        <w:spacing w:after="200" w:line="276" w:lineRule="auto"/>
        <w:rPr>
          <w:rFonts w:ascii="Verdana" w:eastAsia="Calibri" w:hAnsi="Verdana" w:cs="Times New Roman"/>
          <w:color w:val="auto"/>
          <w:sz w:val="22"/>
          <w:szCs w:val="22"/>
        </w:rPr>
      </w:pPr>
      <w:r w:rsidRPr="008D31D8">
        <w:rPr>
          <w:rFonts w:ascii="Verdana" w:eastAsia="Calibri" w:hAnsi="Verdana" w:cs="Times New Roman"/>
          <w:color w:val="auto"/>
          <w:sz w:val="22"/>
          <w:szCs w:val="22"/>
        </w:rPr>
        <w:t xml:space="preserve">This category consolidation </w:t>
      </w:r>
      <w:r w:rsidR="00585B74">
        <w:rPr>
          <w:rFonts w:ascii="Verdana" w:eastAsia="Calibri" w:hAnsi="Verdana" w:cs="Times New Roman"/>
          <w:color w:val="auto"/>
          <w:sz w:val="22"/>
          <w:szCs w:val="22"/>
        </w:rPr>
        <w:t>provided a more efficient</w:t>
      </w:r>
      <w:r w:rsidR="00585B74" w:rsidRPr="008D31D8">
        <w:rPr>
          <w:rFonts w:ascii="Verdana" w:eastAsia="Calibri" w:hAnsi="Verdana" w:cs="Times New Roman"/>
          <w:color w:val="auto"/>
          <w:sz w:val="22"/>
          <w:szCs w:val="22"/>
        </w:rPr>
        <w:t xml:space="preserve"> </w:t>
      </w:r>
      <w:r w:rsidRPr="008D31D8">
        <w:rPr>
          <w:rFonts w:ascii="Verdana" w:eastAsia="Calibri" w:hAnsi="Verdana" w:cs="Times New Roman"/>
          <w:color w:val="auto"/>
          <w:sz w:val="22"/>
          <w:szCs w:val="22"/>
        </w:rPr>
        <w:t xml:space="preserve">analysis of data for </w:t>
      </w:r>
      <w:r w:rsidR="00585B74">
        <w:rPr>
          <w:rFonts w:ascii="Verdana" w:eastAsia="Calibri" w:hAnsi="Verdana" w:cs="Times New Roman"/>
          <w:color w:val="auto"/>
          <w:sz w:val="22"/>
          <w:szCs w:val="22"/>
        </w:rPr>
        <w:t>reporting to stakeholders</w:t>
      </w:r>
      <w:r w:rsidRPr="008D31D8">
        <w:rPr>
          <w:rFonts w:ascii="Verdana" w:eastAsia="Calibri" w:hAnsi="Verdana" w:cs="Times New Roman"/>
          <w:color w:val="auto"/>
          <w:sz w:val="22"/>
          <w:szCs w:val="22"/>
        </w:rPr>
        <w:t>. The overall risk rating of the assessed applications continues to improve with two notable exceptions. Analysis indicates an increase in the use of CMS</w:t>
      </w:r>
      <w:r w:rsidR="00B25361">
        <w:rPr>
          <w:rFonts w:ascii="Verdana" w:eastAsia="Calibri" w:hAnsi="Verdana" w:cs="Times New Roman"/>
          <w:color w:val="auto"/>
          <w:sz w:val="22"/>
          <w:szCs w:val="22"/>
        </w:rPr>
        <w:t>s</w:t>
      </w:r>
      <w:r w:rsidRPr="008D31D8">
        <w:rPr>
          <w:rFonts w:ascii="Verdana" w:eastAsia="Calibri" w:hAnsi="Verdana" w:cs="Times New Roman"/>
          <w:color w:val="auto"/>
          <w:sz w:val="22"/>
          <w:szCs w:val="22"/>
        </w:rPr>
        <w:t xml:space="preserve"> that contain known security issues as well as the continued use of end-of-life data encryption mechanisms. These security issues must be remediated by the individual agencies deploying the CMS instances and the deprecated transport layer security protocols. Any delay in remediating the security vulnerabilities </w:t>
      </w:r>
      <w:r w:rsidRPr="00D5215A">
        <w:rPr>
          <w:rFonts w:ascii="Verdana" w:eastAsia="Calibri" w:hAnsi="Verdana" w:cs="Times New Roman"/>
          <w:color w:val="auto"/>
          <w:sz w:val="22"/>
          <w:szCs w:val="22"/>
        </w:rPr>
        <w:t xml:space="preserve">will expose the agency and the </w:t>
      </w:r>
      <w:r>
        <w:rPr>
          <w:rFonts w:ascii="Verdana" w:eastAsia="Calibri" w:hAnsi="Verdana" w:cs="Times New Roman"/>
          <w:color w:val="auto"/>
          <w:sz w:val="22"/>
          <w:szCs w:val="22"/>
        </w:rPr>
        <w:t>c</w:t>
      </w:r>
      <w:r w:rsidRPr="008D31D8">
        <w:rPr>
          <w:rFonts w:ascii="Verdana" w:eastAsia="Calibri" w:hAnsi="Verdana" w:cs="Times New Roman"/>
          <w:color w:val="auto"/>
          <w:sz w:val="22"/>
          <w:szCs w:val="22"/>
        </w:rPr>
        <w:t xml:space="preserve">ommonwealth to a level of risk relative to the classification of the data housed within the system. </w:t>
      </w:r>
    </w:p>
    <w:p w14:paraId="01C4A147" w14:textId="3E34E0DD" w:rsidR="00D5215A" w:rsidRPr="008D31D8" w:rsidRDefault="00D5215A" w:rsidP="00D5215A">
      <w:pPr>
        <w:spacing w:after="200" w:line="276" w:lineRule="auto"/>
        <w:rPr>
          <w:rFonts w:ascii="Verdana" w:hAnsi="Verdana" w:cs="Calibri"/>
          <w:sz w:val="22"/>
          <w:szCs w:val="22"/>
        </w:rPr>
      </w:pPr>
      <w:r>
        <w:rPr>
          <w:rFonts w:ascii="Verdana" w:hAnsi="Verdana" w:cs="Calibri"/>
          <w:sz w:val="22"/>
          <w:szCs w:val="22"/>
        </w:rPr>
        <w:t>T</w:t>
      </w:r>
      <w:r w:rsidRPr="008D31D8">
        <w:rPr>
          <w:rFonts w:ascii="Verdana" w:hAnsi="Verdana" w:cs="Calibri"/>
          <w:sz w:val="22"/>
          <w:szCs w:val="22"/>
        </w:rPr>
        <w:t xml:space="preserve">he detection rate for new alerts has not decreased in an appreciable manner over the last year indicating that remediation efforts may have plateaued. In addition, incident response analysis indicates that security incidents resulting in compromised web applications </w:t>
      </w:r>
      <w:r w:rsidR="00585B74">
        <w:rPr>
          <w:rFonts w:ascii="Verdana" w:hAnsi="Verdana" w:cs="Calibri"/>
          <w:sz w:val="22"/>
          <w:szCs w:val="22"/>
        </w:rPr>
        <w:t xml:space="preserve">are </w:t>
      </w:r>
      <w:r w:rsidRPr="008D31D8">
        <w:rPr>
          <w:rFonts w:ascii="Verdana" w:hAnsi="Verdana" w:cs="Calibri"/>
          <w:sz w:val="22"/>
          <w:szCs w:val="22"/>
        </w:rPr>
        <w:t>related to application software lacking security updates</w:t>
      </w:r>
      <w:r w:rsidR="00585B74">
        <w:rPr>
          <w:rFonts w:ascii="Verdana" w:hAnsi="Verdana" w:cs="Calibri"/>
          <w:sz w:val="22"/>
          <w:szCs w:val="22"/>
        </w:rPr>
        <w:t>.  T</w:t>
      </w:r>
      <w:r w:rsidRPr="008D31D8">
        <w:rPr>
          <w:rFonts w:ascii="Verdana" w:hAnsi="Verdana" w:cs="Calibri"/>
          <w:sz w:val="22"/>
          <w:szCs w:val="22"/>
        </w:rPr>
        <w:t xml:space="preserve">he average number of days for high and medium alerts remaining open is beyond the standard requirements for remediation. </w:t>
      </w:r>
    </w:p>
    <w:p w14:paraId="6F6BBFE3" w14:textId="0DA35594" w:rsidR="00D5215A" w:rsidRPr="008D31D8" w:rsidRDefault="00D5215A" w:rsidP="00D5215A">
      <w:pPr>
        <w:spacing w:after="200" w:line="276" w:lineRule="auto"/>
        <w:rPr>
          <w:rFonts w:ascii="Verdana" w:eastAsia="Calibri" w:hAnsi="Verdana" w:cs="Times New Roman"/>
          <w:color w:val="auto"/>
          <w:sz w:val="22"/>
          <w:szCs w:val="22"/>
        </w:rPr>
      </w:pPr>
      <w:r w:rsidRPr="008D31D8">
        <w:rPr>
          <w:rFonts w:ascii="Verdana" w:hAnsi="Verdana" w:cs="Calibri"/>
          <w:sz w:val="22"/>
          <w:szCs w:val="22"/>
        </w:rPr>
        <w:t>Based on the analysis of historical data as well as software development life</w:t>
      </w:r>
      <w:r w:rsidR="00FB3CE0">
        <w:rPr>
          <w:rFonts w:ascii="Verdana" w:hAnsi="Verdana" w:cs="Calibri"/>
          <w:sz w:val="22"/>
          <w:szCs w:val="22"/>
        </w:rPr>
        <w:t xml:space="preserve"> </w:t>
      </w:r>
      <w:r w:rsidRPr="008D31D8">
        <w:rPr>
          <w:rFonts w:ascii="Verdana" w:hAnsi="Verdana" w:cs="Calibri"/>
          <w:sz w:val="22"/>
          <w:szCs w:val="22"/>
        </w:rPr>
        <w:t xml:space="preserve">cycle best practices it is recommended that all web applications undergo web application scanning and certification prior to deployment. Web application scanning should also be implemented in the development and test environments to ensure that any vulnerability is uncovered at the earliest possible point during website development. The commonwealth would benefit from deploying a simple, secure, content delivery and content management mechanism as a service to agencies.  </w:t>
      </w:r>
    </w:p>
    <w:p w14:paraId="53A80591" w14:textId="00E67677" w:rsidR="000B11A4" w:rsidRPr="003B60CC" w:rsidRDefault="00073D0F" w:rsidP="00BC7963">
      <w:pPr>
        <w:pStyle w:val="Heading1"/>
        <w:spacing w:after="240"/>
        <w:rPr>
          <w:rFonts w:ascii="Verdana" w:hAnsi="Verdana"/>
          <w:color w:val="008000"/>
          <w:sz w:val="22"/>
          <w:szCs w:val="22"/>
        </w:rPr>
      </w:pPr>
      <w:bookmarkStart w:id="15" w:name="_Toc14262278"/>
      <w:r w:rsidRPr="003B60CC">
        <w:rPr>
          <w:rFonts w:ascii="Verdana" w:hAnsi="Verdana"/>
          <w:color w:val="008000"/>
          <w:sz w:val="22"/>
          <w:szCs w:val="22"/>
        </w:rPr>
        <w:t>Commonwealth</w:t>
      </w:r>
      <w:r w:rsidR="000B11A4" w:rsidRPr="003B60CC">
        <w:rPr>
          <w:rFonts w:ascii="Verdana" w:hAnsi="Verdana"/>
          <w:color w:val="008000"/>
          <w:sz w:val="22"/>
          <w:szCs w:val="22"/>
        </w:rPr>
        <w:t xml:space="preserve"> </w:t>
      </w:r>
      <w:r w:rsidR="00FB3CE0">
        <w:rPr>
          <w:rFonts w:ascii="Verdana" w:hAnsi="Verdana"/>
          <w:color w:val="008000"/>
          <w:sz w:val="22"/>
          <w:szCs w:val="22"/>
        </w:rPr>
        <w:t>i</w:t>
      </w:r>
      <w:r w:rsidR="000B11A4" w:rsidRPr="003B60CC">
        <w:rPr>
          <w:rFonts w:ascii="Verdana" w:hAnsi="Verdana"/>
          <w:color w:val="008000"/>
          <w:sz w:val="22"/>
          <w:szCs w:val="22"/>
        </w:rPr>
        <w:t xml:space="preserve">nformation </w:t>
      </w:r>
      <w:r w:rsidR="00FB3CE0">
        <w:rPr>
          <w:rFonts w:ascii="Verdana" w:hAnsi="Verdana"/>
          <w:color w:val="008000"/>
          <w:sz w:val="22"/>
          <w:szCs w:val="22"/>
        </w:rPr>
        <w:t>s</w:t>
      </w:r>
      <w:r w:rsidR="000B11A4" w:rsidRPr="003B60CC">
        <w:rPr>
          <w:rFonts w:ascii="Verdana" w:hAnsi="Verdana"/>
          <w:color w:val="008000"/>
          <w:sz w:val="22"/>
          <w:szCs w:val="22"/>
        </w:rPr>
        <w:t xml:space="preserve">ecurity </w:t>
      </w:r>
      <w:r w:rsidR="00FB3CE0">
        <w:rPr>
          <w:rFonts w:ascii="Verdana" w:hAnsi="Verdana"/>
          <w:color w:val="008000"/>
          <w:sz w:val="22"/>
          <w:szCs w:val="22"/>
        </w:rPr>
        <w:t>g</w:t>
      </w:r>
      <w:r w:rsidR="000B11A4" w:rsidRPr="003B60CC">
        <w:rPr>
          <w:rFonts w:ascii="Verdana" w:hAnsi="Verdana"/>
          <w:color w:val="008000"/>
          <w:sz w:val="22"/>
          <w:szCs w:val="22"/>
        </w:rPr>
        <w:t>overnance</w:t>
      </w:r>
      <w:r w:rsidR="007E7E5E" w:rsidRPr="003B60CC">
        <w:rPr>
          <w:rFonts w:ascii="Verdana" w:hAnsi="Verdana"/>
          <w:color w:val="008000"/>
          <w:sz w:val="22"/>
          <w:szCs w:val="22"/>
        </w:rPr>
        <w:t xml:space="preserve"> </w:t>
      </w:r>
      <w:r w:rsidR="002B7A20">
        <w:rPr>
          <w:rFonts w:ascii="Verdana" w:hAnsi="Verdana"/>
          <w:color w:val="008000"/>
          <w:sz w:val="22"/>
          <w:szCs w:val="22"/>
        </w:rPr>
        <w:t>p</w:t>
      </w:r>
      <w:r w:rsidR="007E7E5E" w:rsidRPr="003B60CC">
        <w:rPr>
          <w:rFonts w:ascii="Verdana" w:hAnsi="Verdana"/>
          <w:color w:val="008000"/>
          <w:sz w:val="22"/>
          <w:szCs w:val="22"/>
        </w:rPr>
        <w:t>rogram</w:t>
      </w:r>
      <w:bookmarkEnd w:id="15"/>
    </w:p>
    <w:p w14:paraId="6FEA6DE7" w14:textId="77777777" w:rsidR="000E3CA9" w:rsidRPr="003B60CC" w:rsidRDefault="00E86DB1" w:rsidP="00394623">
      <w:pPr>
        <w:spacing w:before="100" w:beforeAutospacing="1" w:after="100" w:afterAutospacing="1"/>
        <w:rPr>
          <w:sz w:val="22"/>
          <w:szCs w:val="22"/>
        </w:rPr>
      </w:pPr>
      <w:r w:rsidRPr="003B60CC">
        <w:rPr>
          <w:rFonts w:ascii="Verdana" w:hAnsi="Verdana"/>
          <w:bCs/>
          <w:sz w:val="22"/>
          <w:szCs w:val="22"/>
        </w:rPr>
        <w:t xml:space="preserve">The </w:t>
      </w:r>
      <w:r w:rsidR="00577652" w:rsidRPr="003B60CC">
        <w:rPr>
          <w:rFonts w:ascii="Verdana" w:hAnsi="Verdana"/>
          <w:bCs/>
          <w:sz w:val="22"/>
          <w:szCs w:val="22"/>
        </w:rPr>
        <w:t>c</w:t>
      </w:r>
      <w:r w:rsidR="00073D0F" w:rsidRPr="003B60CC">
        <w:rPr>
          <w:rFonts w:ascii="Verdana" w:hAnsi="Verdana"/>
          <w:bCs/>
          <w:sz w:val="22"/>
          <w:szCs w:val="22"/>
        </w:rPr>
        <w:t>ommonwealth</w:t>
      </w:r>
      <w:r w:rsidRPr="003B60CC">
        <w:rPr>
          <w:rFonts w:ascii="Verdana" w:hAnsi="Verdana"/>
          <w:bCs/>
          <w:sz w:val="22"/>
          <w:szCs w:val="22"/>
        </w:rPr>
        <w:t xml:space="preserve">’s information security </w:t>
      </w:r>
      <w:r w:rsidR="00166354" w:rsidRPr="003B60CC">
        <w:rPr>
          <w:rFonts w:ascii="Verdana" w:hAnsi="Verdana"/>
          <w:bCs/>
          <w:sz w:val="22"/>
          <w:szCs w:val="22"/>
        </w:rPr>
        <w:t>governance</w:t>
      </w:r>
      <w:r w:rsidRPr="003B60CC">
        <w:rPr>
          <w:rFonts w:ascii="Verdana" w:hAnsi="Verdana"/>
          <w:bCs/>
          <w:sz w:val="22"/>
          <w:szCs w:val="22"/>
        </w:rPr>
        <w:t xml:space="preserve"> program </w:t>
      </w:r>
      <w:r w:rsidR="00BA7E23" w:rsidRPr="003B60CC">
        <w:rPr>
          <w:rFonts w:ascii="Verdana" w:hAnsi="Verdana"/>
          <w:bCs/>
          <w:sz w:val="22"/>
          <w:szCs w:val="22"/>
        </w:rPr>
        <w:t>is</w:t>
      </w:r>
      <w:r w:rsidR="00577652" w:rsidRPr="003B60CC">
        <w:rPr>
          <w:rFonts w:ascii="Verdana" w:hAnsi="Verdana"/>
          <w:color w:val="313131"/>
          <w:sz w:val="22"/>
          <w:szCs w:val="22"/>
        </w:rPr>
        <w:t xml:space="preserve"> </w:t>
      </w:r>
      <w:r w:rsidR="00577652" w:rsidRPr="003B60CC">
        <w:rPr>
          <w:rFonts w:ascii="Verdana" w:hAnsi="Verdana"/>
          <w:bCs/>
          <w:sz w:val="22"/>
          <w:szCs w:val="22"/>
        </w:rPr>
        <w:t xml:space="preserve">responsible </w:t>
      </w:r>
      <w:r w:rsidR="009561A5" w:rsidRPr="003B60CC">
        <w:rPr>
          <w:rFonts w:ascii="Verdana" w:hAnsi="Verdana"/>
          <w:bCs/>
          <w:sz w:val="22"/>
          <w:szCs w:val="22"/>
        </w:rPr>
        <w:t xml:space="preserve">for </w:t>
      </w:r>
      <w:r w:rsidR="00577652" w:rsidRPr="003B60CC">
        <w:rPr>
          <w:rFonts w:ascii="Verdana" w:hAnsi="Verdana"/>
          <w:bCs/>
          <w:sz w:val="22"/>
          <w:szCs w:val="22"/>
        </w:rPr>
        <w:t>monitoring performance and compliance against IT security policies and standards</w:t>
      </w:r>
      <w:r w:rsidR="00464CEF" w:rsidRPr="003B60CC">
        <w:rPr>
          <w:rFonts w:ascii="Verdana" w:hAnsi="Verdana"/>
          <w:bCs/>
          <w:sz w:val="22"/>
          <w:szCs w:val="22"/>
        </w:rPr>
        <w:t xml:space="preserve">, </w:t>
      </w:r>
      <w:r w:rsidR="00577652" w:rsidRPr="003B60CC">
        <w:rPr>
          <w:rFonts w:ascii="Verdana" w:hAnsi="Verdana"/>
          <w:bCs/>
          <w:sz w:val="22"/>
          <w:szCs w:val="22"/>
        </w:rPr>
        <w:t xml:space="preserve">setting security strategy </w:t>
      </w:r>
      <w:r w:rsidR="00E12700" w:rsidRPr="003B60CC">
        <w:rPr>
          <w:rFonts w:ascii="Verdana" w:hAnsi="Verdana"/>
          <w:bCs/>
          <w:sz w:val="22"/>
          <w:szCs w:val="22"/>
        </w:rPr>
        <w:t xml:space="preserve">for the </w:t>
      </w:r>
      <w:r w:rsidR="00577652" w:rsidRPr="003B60CC">
        <w:rPr>
          <w:rFonts w:ascii="Verdana" w:hAnsi="Verdana"/>
          <w:bCs/>
          <w:sz w:val="22"/>
          <w:szCs w:val="22"/>
        </w:rPr>
        <w:t>commonwealth</w:t>
      </w:r>
      <w:r w:rsidR="00464CEF" w:rsidRPr="003B60CC">
        <w:rPr>
          <w:rFonts w:ascii="Verdana" w:hAnsi="Verdana"/>
          <w:bCs/>
          <w:sz w:val="22"/>
          <w:szCs w:val="22"/>
        </w:rPr>
        <w:t xml:space="preserve">, supporting agencies in their efforts to foster secure IT security environments, and promoting information </w:t>
      </w:r>
      <w:r w:rsidR="007E7E5E" w:rsidRPr="003B60CC">
        <w:rPr>
          <w:rFonts w:ascii="Verdana" w:hAnsi="Verdana"/>
          <w:bCs/>
          <w:sz w:val="22"/>
          <w:szCs w:val="22"/>
        </w:rPr>
        <w:t>security</w:t>
      </w:r>
      <w:r w:rsidR="00464CEF" w:rsidRPr="003B60CC">
        <w:rPr>
          <w:rFonts w:ascii="Verdana" w:hAnsi="Verdana"/>
          <w:bCs/>
          <w:sz w:val="22"/>
          <w:szCs w:val="22"/>
        </w:rPr>
        <w:t xml:space="preserve"> training and awareness</w:t>
      </w:r>
      <w:r w:rsidR="00E12700" w:rsidRPr="003B60CC">
        <w:rPr>
          <w:rFonts w:ascii="Verdana" w:hAnsi="Verdana"/>
          <w:bCs/>
          <w:sz w:val="22"/>
          <w:szCs w:val="22"/>
        </w:rPr>
        <w:t xml:space="preserve">.  </w:t>
      </w:r>
    </w:p>
    <w:p w14:paraId="0F873C25" w14:textId="26042AAE" w:rsidR="000E3CA9" w:rsidRPr="003B60CC" w:rsidRDefault="00E12700" w:rsidP="00394623">
      <w:pPr>
        <w:pStyle w:val="Heading2"/>
        <w:spacing w:before="100" w:beforeAutospacing="1" w:after="100" w:afterAutospacing="1"/>
        <w:contextualSpacing/>
        <w:rPr>
          <w:sz w:val="22"/>
          <w:szCs w:val="22"/>
        </w:rPr>
      </w:pPr>
      <w:bookmarkStart w:id="16" w:name="_Toc14262279"/>
      <w:r w:rsidRPr="003B60CC">
        <w:rPr>
          <w:sz w:val="22"/>
          <w:szCs w:val="22"/>
        </w:rPr>
        <w:t xml:space="preserve">Statute </w:t>
      </w:r>
      <w:r w:rsidR="00F76D35" w:rsidRPr="003B60CC">
        <w:rPr>
          <w:sz w:val="22"/>
          <w:szCs w:val="22"/>
        </w:rPr>
        <w:t>r</w:t>
      </w:r>
      <w:r w:rsidRPr="003B60CC">
        <w:rPr>
          <w:sz w:val="22"/>
          <w:szCs w:val="22"/>
        </w:rPr>
        <w:t xml:space="preserve">equires </w:t>
      </w:r>
      <w:r w:rsidR="00F76D35" w:rsidRPr="003B60CC">
        <w:rPr>
          <w:sz w:val="22"/>
          <w:szCs w:val="22"/>
        </w:rPr>
        <w:t>c</w:t>
      </w:r>
      <w:r w:rsidR="00464CEF" w:rsidRPr="003B60CC">
        <w:rPr>
          <w:sz w:val="22"/>
          <w:szCs w:val="22"/>
        </w:rPr>
        <w:t xml:space="preserve">ompliance </w:t>
      </w:r>
      <w:r w:rsidR="00F76D35" w:rsidRPr="003B60CC">
        <w:rPr>
          <w:sz w:val="22"/>
          <w:szCs w:val="22"/>
        </w:rPr>
        <w:t>m</w:t>
      </w:r>
      <w:r w:rsidRPr="003B60CC">
        <w:rPr>
          <w:sz w:val="22"/>
          <w:szCs w:val="22"/>
        </w:rPr>
        <w:t>onitoring</w:t>
      </w:r>
      <w:bookmarkEnd w:id="16"/>
    </w:p>
    <w:p w14:paraId="521B096B" w14:textId="6B551086" w:rsidR="00464CEF" w:rsidRPr="003B60CC" w:rsidRDefault="00464CEF" w:rsidP="0095446A">
      <w:pPr>
        <w:rPr>
          <w:rFonts w:ascii="Verdana" w:hAnsi="Verdana"/>
          <w:bCs/>
          <w:sz w:val="22"/>
          <w:szCs w:val="22"/>
        </w:rPr>
      </w:pPr>
      <w:r w:rsidRPr="003B60CC">
        <w:rPr>
          <w:rFonts w:ascii="Verdana" w:hAnsi="Verdana"/>
          <w:bCs/>
          <w:sz w:val="22"/>
          <w:szCs w:val="22"/>
        </w:rPr>
        <w:t xml:space="preserve">As directed by §2.2-2009 (B.1) of the Code of Virginia, the CIO is required to report the “results of security audits, the extent to which security policy, standards, and guidelines have been adopted by executive branch and independent agencies, and a list of those executive branch agencies and independent agencies that have not implemented acceptable security and risk management regulations, policies, standards, and guidelines to control unauthorized uses, intrusions, or other security threats.” </w:t>
      </w:r>
      <w:r w:rsidR="00E12700" w:rsidRPr="003B60CC">
        <w:rPr>
          <w:rFonts w:ascii="Verdana" w:hAnsi="Verdana"/>
          <w:bCs/>
          <w:sz w:val="22"/>
          <w:szCs w:val="22"/>
        </w:rPr>
        <w:t xml:space="preserve">CSRM </w:t>
      </w:r>
      <w:r w:rsidRPr="003B60CC">
        <w:rPr>
          <w:rFonts w:ascii="Verdana" w:hAnsi="Verdana"/>
          <w:bCs/>
          <w:sz w:val="22"/>
          <w:szCs w:val="22"/>
        </w:rPr>
        <w:t>accomplished this task by monitoring</w:t>
      </w:r>
      <w:r w:rsidR="00E12700" w:rsidRPr="003B60CC">
        <w:rPr>
          <w:rFonts w:ascii="Verdana" w:hAnsi="Verdana"/>
          <w:bCs/>
          <w:sz w:val="22"/>
          <w:szCs w:val="22"/>
        </w:rPr>
        <w:t xml:space="preserve"> ag</w:t>
      </w:r>
      <w:r w:rsidRPr="003B60CC">
        <w:rPr>
          <w:rFonts w:ascii="Verdana" w:hAnsi="Verdana"/>
          <w:bCs/>
          <w:sz w:val="22"/>
          <w:szCs w:val="22"/>
        </w:rPr>
        <w:t>encie</w:t>
      </w:r>
      <w:r w:rsidR="00E12700" w:rsidRPr="003B60CC">
        <w:rPr>
          <w:rFonts w:ascii="Verdana" w:hAnsi="Verdana"/>
          <w:bCs/>
          <w:sz w:val="22"/>
          <w:szCs w:val="22"/>
        </w:rPr>
        <w:t xml:space="preserve">s’ </w:t>
      </w:r>
      <w:r w:rsidRPr="003B60CC">
        <w:rPr>
          <w:rFonts w:ascii="Verdana" w:hAnsi="Verdana"/>
          <w:bCs/>
          <w:sz w:val="22"/>
          <w:szCs w:val="22"/>
        </w:rPr>
        <w:t>overall compliance with IT audit program</w:t>
      </w:r>
      <w:r w:rsidR="00E12700" w:rsidRPr="003B60CC">
        <w:rPr>
          <w:rFonts w:ascii="Verdana" w:hAnsi="Verdana"/>
          <w:bCs/>
          <w:sz w:val="22"/>
          <w:szCs w:val="22"/>
        </w:rPr>
        <w:t xml:space="preserve"> and information security risk program</w:t>
      </w:r>
      <w:r w:rsidRPr="003B60CC">
        <w:rPr>
          <w:rFonts w:ascii="Verdana" w:hAnsi="Verdana"/>
          <w:bCs/>
          <w:sz w:val="22"/>
          <w:szCs w:val="22"/>
        </w:rPr>
        <w:t xml:space="preserve"> </w:t>
      </w:r>
      <w:r w:rsidR="00E12700" w:rsidRPr="003B60CC">
        <w:rPr>
          <w:rFonts w:ascii="Verdana" w:hAnsi="Verdana"/>
          <w:bCs/>
          <w:sz w:val="22"/>
          <w:szCs w:val="22"/>
        </w:rPr>
        <w:t>s</w:t>
      </w:r>
      <w:r w:rsidRPr="003B60CC">
        <w:rPr>
          <w:rFonts w:ascii="Verdana" w:hAnsi="Verdana"/>
          <w:bCs/>
          <w:sz w:val="22"/>
          <w:szCs w:val="22"/>
        </w:rPr>
        <w:t>tandards and policies</w:t>
      </w:r>
      <w:r w:rsidR="00E12700" w:rsidRPr="003B60CC">
        <w:rPr>
          <w:rFonts w:ascii="Verdana" w:hAnsi="Verdana"/>
          <w:bCs/>
          <w:sz w:val="22"/>
          <w:szCs w:val="22"/>
        </w:rPr>
        <w:t>.</w:t>
      </w:r>
      <w:r w:rsidR="0074536D" w:rsidRPr="003B60CC">
        <w:rPr>
          <w:rFonts w:ascii="Verdana" w:hAnsi="Verdana"/>
          <w:bCs/>
          <w:sz w:val="22"/>
          <w:szCs w:val="22"/>
        </w:rPr>
        <w:t xml:space="preserve"> In addition CSRM started transitioning toward a maturity model which provides additional insight into agency programs. This insight will help show where the commonwealth can direct efforts to further the security program.</w:t>
      </w:r>
      <w:r w:rsidR="00E12700" w:rsidRPr="003B60CC">
        <w:rPr>
          <w:rFonts w:ascii="Verdana" w:hAnsi="Verdana"/>
          <w:bCs/>
          <w:sz w:val="22"/>
          <w:szCs w:val="22"/>
        </w:rPr>
        <w:t xml:space="preserve">  </w:t>
      </w:r>
    </w:p>
    <w:p w14:paraId="4EB0B0CF" w14:textId="5653410C" w:rsidR="001F2E48" w:rsidRPr="003B60CC" w:rsidRDefault="001F2E48" w:rsidP="001F2E48">
      <w:pPr>
        <w:pStyle w:val="Heading2"/>
        <w:spacing w:before="100" w:beforeAutospacing="1" w:after="100" w:afterAutospacing="1"/>
        <w:contextualSpacing/>
        <w:rPr>
          <w:sz w:val="22"/>
          <w:szCs w:val="22"/>
        </w:rPr>
      </w:pPr>
      <w:bookmarkStart w:id="17" w:name="_Toc14262280"/>
      <w:r w:rsidRPr="003B60CC">
        <w:rPr>
          <w:sz w:val="22"/>
          <w:szCs w:val="22"/>
        </w:rPr>
        <w:t xml:space="preserve">Audit </w:t>
      </w:r>
      <w:r w:rsidR="00F76D35" w:rsidRPr="003B60CC">
        <w:rPr>
          <w:sz w:val="22"/>
          <w:szCs w:val="22"/>
        </w:rPr>
        <w:t>c</w:t>
      </w:r>
      <w:r w:rsidRPr="003B60CC">
        <w:rPr>
          <w:sz w:val="22"/>
          <w:szCs w:val="22"/>
        </w:rPr>
        <w:t xml:space="preserve">ompliance </w:t>
      </w:r>
      <w:r w:rsidR="00F76D35" w:rsidRPr="003B60CC">
        <w:rPr>
          <w:sz w:val="22"/>
          <w:szCs w:val="22"/>
        </w:rPr>
        <w:t>r</w:t>
      </w:r>
      <w:r w:rsidRPr="003B60CC">
        <w:rPr>
          <w:sz w:val="22"/>
          <w:szCs w:val="22"/>
        </w:rPr>
        <w:t xml:space="preserve">eport </w:t>
      </w:r>
      <w:r w:rsidR="00F76D35" w:rsidRPr="003B60CC">
        <w:rPr>
          <w:sz w:val="22"/>
          <w:szCs w:val="22"/>
        </w:rPr>
        <w:t>c</w:t>
      </w:r>
      <w:r w:rsidRPr="003B60CC">
        <w:rPr>
          <w:sz w:val="22"/>
          <w:szCs w:val="22"/>
        </w:rPr>
        <w:t>ard</w:t>
      </w:r>
      <w:bookmarkEnd w:id="17"/>
    </w:p>
    <w:p w14:paraId="6B7BC512" w14:textId="16B599F3" w:rsidR="001F2E48" w:rsidRPr="003B60CC" w:rsidRDefault="001F2E48" w:rsidP="001F2E48">
      <w:pPr>
        <w:rPr>
          <w:rFonts w:ascii="Verdana" w:hAnsi="Verdana"/>
          <w:sz w:val="22"/>
          <w:szCs w:val="22"/>
        </w:rPr>
      </w:pPr>
      <w:r w:rsidRPr="003B60CC">
        <w:rPr>
          <w:rFonts w:ascii="Verdana" w:hAnsi="Verdana"/>
          <w:sz w:val="22"/>
          <w:szCs w:val="22"/>
        </w:rPr>
        <w:t xml:space="preserve">The compliance report card summarizes agency compliance with the commonwealth’s IT security standards, specifically the standards related to IT security audit and risk management. The report card measures each agency’s compliance with a letter grade of A, B, C, D or F to provide a more gradated measurement of agency compliance and more insight into changes in compliance over time.  </w:t>
      </w:r>
    </w:p>
    <w:p w14:paraId="06443582" w14:textId="77777777" w:rsidR="001F2E48" w:rsidRDefault="001F2E48" w:rsidP="001F2E48">
      <w:pPr>
        <w:rPr>
          <w:rFonts w:ascii="Verdana" w:hAnsi="Verdana"/>
          <w:sz w:val="22"/>
          <w:szCs w:val="22"/>
          <w:highlight w:val="yellow"/>
        </w:rPr>
      </w:pPr>
      <w:r w:rsidRPr="00377362">
        <w:rPr>
          <w:rFonts w:ascii="Verdana" w:hAnsi="Verdana"/>
          <w:sz w:val="22"/>
          <w:szCs w:val="22"/>
          <w:highlight w:val="yellow"/>
        </w:rPr>
        <w:t xml:space="preserve">  </w:t>
      </w:r>
    </w:p>
    <w:p w14:paraId="4F3AEEB0" w14:textId="77777777" w:rsidR="00B71C25" w:rsidRPr="00377362" w:rsidRDefault="00B71C25" w:rsidP="001F2E48">
      <w:pPr>
        <w:rPr>
          <w:rFonts w:ascii="Verdana" w:hAnsi="Verdana"/>
          <w:sz w:val="22"/>
          <w:szCs w:val="22"/>
          <w:highlight w:val="yellow"/>
        </w:rPr>
      </w:pPr>
    </w:p>
    <w:p w14:paraId="6D95D311" w14:textId="77777777" w:rsidR="00776E4D" w:rsidRDefault="001F2E48" w:rsidP="003B60CC">
      <w:pPr>
        <w:rPr>
          <w:rFonts w:ascii="Verdana" w:hAnsi="Verdana"/>
          <w:sz w:val="22"/>
          <w:szCs w:val="22"/>
        </w:rPr>
      </w:pPr>
      <w:r w:rsidRPr="003B60CC">
        <w:rPr>
          <w:rFonts w:ascii="Verdana" w:hAnsi="Verdana"/>
          <w:sz w:val="22"/>
          <w:szCs w:val="22"/>
        </w:rPr>
        <w:t>Overall agency audit programs compliance has improved with the percentage of agencies with grades of A and B increasing from the prior year. CSRM anticipates that compliance will continue to improve that as agencies use the funds afforded them in the biennial budget for IT security, including centralized audit services.</w:t>
      </w:r>
    </w:p>
    <w:p w14:paraId="22E3C296" w14:textId="27CF1C9A" w:rsidR="00B71C25" w:rsidRDefault="001F2E48" w:rsidP="003B60CC">
      <w:pPr>
        <w:jc w:val="center"/>
        <w:rPr>
          <w:rFonts w:ascii="Verdana" w:hAnsi="Verdana"/>
          <w:sz w:val="22"/>
          <w:szCs w:val="22"/>
        </w:rPr>
      </w:pPr>
      <w:r w:rsidRPr="003B60CC">
        <w:rPr>
          <w:rFonts w:ascii="Verdana" w:hAnsi="Verdana"/>
          <w:sz w:val="22"/>
          <w:szCs w:val="22"/>
        </w:rPr>
        <w:br/>
      </w:r>
      <w:r w:rsidR="00776E4D">
        <w:rPr>
          <w:noProof/>
        </w:rPr>
        <w:drawing>
          <wp:inline distT="0" distB="0" distL="0" distR="0" wp14:anchorId="3BACD98C" wp14:editId="7122AD38">
            <wp:extent cx="5110163" cy="2838450"/>
            <wp:effectExtent l="0" t="0" r="0" b="0"/>
            <wp:docPr id="695" name="Chart 69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F89094D" w14:textId="77777777" w:rsidR="00776E4D" w:rsidRDefault="00776E4D" w:rsidP="003B60CC">
      <w:pPr>
        <w:jc w:val="center"/>
        <w:rPr>
          <w:rFonts w:ascii="Verdana" w:hAnsi="Verdana"/>
          <w:sz w:val="22"/>
          <w:szCs w:val="22"/>
        </w:rPr>
      </w:pPr>
    </w:p>
    <w:p w14:paraId="5736A224" w14:textId="77777777" w:rsidR="00776E4D" w:rsidRDefault="00776E4D" w:rsidP="003B60CC">
      <w:pPr>
        <w:jc w:val="center"/>
        <w:rPr>
          <w:rFonts w:ascii="Verdana" w:hAnsi="Verdana"/>
          <w:sz w:val="22"/>
          <w:szCs w:val="22"/>
        </w:rPr>
      </w:pPr>
    </w:p>
    <w:p w14:paraId="52F6C635" w14:textId="4D2AF873" w:rsidR="00E86DB1" w:rsidRPr="003B60CC" w:rsidRDefault="00F859F7" w:rsidP="00394623">
      <w:pPr>
        <w:pStyle w:val="Heading2"/>
        <w:spacing w:before="100" w:beforeAutospacing="1" w:after="100" w:afterAutospacing="1"/>
        <w:contextualSpacing/>
        <w:rPr>
          <w:sz w:val="22"/>
          <w:szCs w:val="22"/>
        </w:rPr>
      </w:pPr>
      <w:bookmarkStart w:id="18" w:name="_Toc14262281"/>
      <w:r w:rsidRPr="003B60CC">
        <w:rPr>
          <w:sz w:val="22"/>
          <w:szCs w:val="22"/>
        </w:rPr>
        <w:t xml:space="preserve">Key </w:t>
      </w:r>
      <w:r w:rsidR="00F76D35" w:rsidRPr="003B60CC">
        <w:rPr>
          <w:sz w:val="22"/>
          <w:szCs w:val="22"/>
        </w:rPr>
        <w:t>c</w:t>
      </w:r>
      <w:r w:rsidR="00073D0F" w:rsidRPr="003B60CC">
        <w:rPr>
          <w:sz w:val="22"/>
          <w:szCs w:val="22"/>
        </w:rPr>
        <w:t>ommonwealth</w:t>
      </w:r>
      <w:r w:rsidR="00E86DB1" w:rsidRPr="003B60CC">
        <w:rPr>
          <w:sz w:val="22"/>
          <w:szCs w:val="22"/>
        </w:rPr>
        <w:t xml:space="preserve"> </w:t>
      </w:r>
      <w:r w:rsidR="00F76D35" w:rsidRPr="003B60CC">
        <w:rPr>
          <w:sz w:val="22"/>
          <w:szCs w:val="22"/>
        </w:rPr>
        <w:t>s</w:t>
      </w:r>
      <w:r w:rsidR="00E86DB1" w:rsidRPr="003B60CC">
        <w:rPr>
          <w:sz w:val="22"/>
          <w:szCs w:val="22"/>
        </w:rPr>
        <w:t>ecurity</w:t>
      </w:r>
      <w:r w:rsidR="00BC7963" w:rsidRPr="003B60CC">
        <w:rPr>
          <w:sz w:val="22"/>
          <w:szCs w:val="22"/>
        </w:rPr>
        <w:t xml:space="preserve"> </w:t>
      </w:r>
      <w:r w:rsidR="00F76D35" w:rsidRPr="003B60CC">
        <w:rPr>
          <w:sz w:val="22"/>
          <w:szCs w:val="22"/>
        </w:rPr>
        <w:t>a</w:t>
      </w:r>
      <w:r w:rsidR="007E7E5E" w:rsidRPr="003B60CC">
        <w:rPr>
          <w:sz w:val="22"/>
          <w:szCs w:val="22"/>
        </w:rPr>
        <w:t xml:space="preserve">udit </w:t>
      </w:r>
      <w:r w:rsidR="00F76D35" w:rsidRPr="003B60CC">
        <w:rPr>
          <w:sz w:val="22"/>
          <w:szCs w:val="22"/>
        </w:rPr>
        <w:t>c</w:t>
      </w:r>
      <w:r w:rsidR="00BC7963" w:rsidRPr="003B60CC">
        <w:rPr>
          <w:sz w:val="22"/>
          <w:szCs w:val="22"/>
        </w:rPr>
        <w:t xml:space="preserve">ompliance </w:t>
      </w:r>
      <w:r w:rsidR="00F76D35" w:rsidRPr="003B60CC">
        <w:rPr>
          <w:sz w:val="22"/>
          <w:szCs w:val="22"/>
        </w:rPr>
        <w:t>m</w:t>
      </w:r>
      <w:r w:rsidR="00BC7963" w:rsidRPr="003B60CC">
        <w:rPr>
          <w:sz w:val="22"/>
          <w:szCs w:val="22"/>
        </w:rPr>
        <w:t>etrics</w:t>
      </w:r>
      <w:r w:rsidR="00DF279E" w:rsidRPr="003B60CC">
        <w:rPr>
          <w:sz w:val="22"/>
          <w:szCs w:val="22"/>
        </w:rPr>
        <w:t xml:space="preserve"> and </w:t>
      </w:r>
      <w:r w:rsidR="00F76D35" w:rsidRPr="003B60CC">
        <w:rPr>
          <w:sz w:val="22"/>
          <w:szCs w:val="22"/>
        </w:rPr>
        <w:t>a</w:t>
      </w:r>
      <w:r w:rsidR="00A101EB" w:rsidRPr="003B60CC">
        <w:rPr>
          <w:sz w:val="22"/>
          <w:szCs w:val="22"/>
        </w:rPr>
        <w:t>nalysis</w:t>
      </w:r>
      <w:bookmarkEnd w:id="18"/>
    </w:p>
    <w:p w14:paraId="601ED20B" w14:textId="3A03227A" w:rsidR="00DF279E" w:rsidRPr="003B60CC" w:rsidRDefault="009A2B0B" w:rsidP="00394623">
      <w:pPr>
        <w:spacing w:before="100" w:beforeAutospacing="1" w:after="100" w:afterAutospacing="1"/>
        <w:contextualSpacing/>
        <w:rPr>
          <w:rFonts w:ascii="Verdana" w:hAnsi="Verdana"/>
          <w:sz w:val="22"/>
          <w:szCs w:val="22"/>
        </w:rPr>
      </w:pPr>
      <w:r w:rsidRPr="003B60CC">
        <w:rPr>
          <w:rFonts w:ascii="Verdana" w:hAnsi="Verdana"/>
          <w:sz w:val="22"/>
          <w:szCs w:val="22"/>
        </w:rPr>
        <w:t>M</w:t>
      </w:r>
      <w:r w:rsidR="00F859F7" w:rsidRPr="003B60CC">
        <w:rPr>
          <w:rFonts w:ascii="Verdana" w:hAnsi="Verdana"/>
          <w:sz w:val="22"/>
          <w:szCs w:val="22"/>
        </w:rPr>
        <w:t xml:space="preserve">etrics are summarized below to illustrate the </w:t>
      </w:r>
      <w:r w:rsidR="00DF279E" w:rsidRPr="003B60CC">
        <w:rPr>
          <w:rFonts w:ascii="Verdana" w:hAnsi="Verdana"/>
          <w:sz w:val="22"/>
          <w:szCs w:val="22"/>
        </w:rPr>
        <w:t xml:space="preserve">results </w:t>
      </w:r>
      <w:r w:rsidR="00E17F5A" w:rsidRPr="003B60CC">
        <w:rPr>
          <w:rFonts w:ascii="Verdana" w:hAnsi="Verdana"/>
          <w:sz w:val="22"/>
          <w:szCs w:val="22"/>
        </w:rPr>
        <w:t xml:space="preserve">of </w:t>
      </w:r>
      <w:r w:rsidR="00F859F7" w:rsidRPr="003B60CC">
        <w:rPr>
          <w:rFonts w:ascii="Verdana" w:hAnsi="Verdana"/>
          <w:sz w:val="22"/>
          <w:szCs w:val="22"/>
        </w:rPr>
        <w:t xml:space="preserve">IT </w:t>
      </w:r>
      <w:r w:rsidRPr="003B60CC">
        <w:rPr>
          <w:rFonts w:ascii="Verdana" w:hAnsi="Verdana"/>
          <w:sz w:val="22"/>
          <w:szCs w:val="22"/>
        </w:rPr>
        <w:t xml:space="preserve">audit program </w:t>
      </w:r>
      <w:r w:rsidR="00F859F7" w:rsidRPr="003B60CC">
        <w:rPr>
          <w:rFonts w:ascii="Verdana" w:hAnsi="Verdana"/>
          <w:sz w:val="22"/>
          <w:szCs w:val="22"/>
        </w:rPr>
        <w:t xml:space="preserve">compliance, security trends, and </w:t>
      </w:r>
      <w:r w:rsidRPr="003B60CC">
        <w:rPr>
          <w:rFonts w:ascii="Verdana" w:hAnsi="Verdana"/>
          <w:sz w:val="22"/>
          <w:szCs w:val="22"/>
        </w:rPr>
        <w:t>emerging issues</w:t>
      </w:r>
      <w:r w:rsidR="00F859F7" w:rsidRPr="003B60CC">
        <w:rPr>
          <w:rFonts w:ascii="Verdana" w:hAnsi="Verdana"/>
          <w:sz w:val="22"/>
          <w:szCs w:val="22"/>
        </w:rPr>
        <w:t xml:space="preserve"> as reported by state </w:t>
      </w:r>
      <w:r w:rsidR="00DF279E" w:rsidRPr="003B60CC">
        <w:rPr>
          <w:rFonts w:ascii="Verdana" w:hAnsi="Verdana"/>
          <w:sz w:val="22"/>
          <w:szCs w:val="22"/>
        </w:rPr>
        <w:t>agencies</w:t>
      </w:r>
      <w:r w:rsidR="00F859F7" w:rsidRPr="003B60CC">
        <w:rPr>
          <w:rFonts w:ascii="Verdana" w:hAnsi="Verdana"/>
          <w:sz w:val="22"/>
          <w:szCs w:val="22"/>
        </w:rPr>
        <w:t xml:space="preserve">.  </w:t>
      </w:r>
    </w:p>
    <w:p w14:paraId="1EF23C17" w14:textId="77777777" w:rsidR="00401D3E" w:rsidRPr="00377362" w:rsidRDefault="00401D3E" w:rsidP="007E7E5E">
      <w:pPr>
        <w:rPr>
          <w:rFonts w:ascii="Verdana" w:hAnsi="Verdana"/>
          <w:sz w:val="22"/>
          <w:szCs w:val="22"/>
          <w:highlight w:val="yellow"/>
        </w:rPr>
      </w:pPr>
    </w:p>
    <w:p w14:paraId="306DEC97" w14:textId="158BCCE5" w:rsidR="003C7059" w:rsidRPr="00611F7F" w:rsidRDefault="00611F7F" w:rsidP="00477003">
      <w:pPr>
        <w:spacing w:after="240"/>
        <w:ind w:right="720"/>
        <w:contextualSpacing/>
        <w:rPr>
          <w:rFonts w:ascii="Verdana" w:hAnsi="Verdana"/>
          <w:sz w:val="22"/>
          <w:szCs w:val="22"/>
        </w:rPr>
      </w:pPr>
      <w:r w:rsidRPr="00611F7F">
        <w:rPr>
          <w:rFonts w:ascii="Verdana" w:hAnsi="Verdana"/>
          <w:b/>
          <w:sz w:val="22"/>
          <w:szCs w:val="22"/>
        </w:rPr>
        <w:t xml:space="preserve">Agency audit </w:t>
      </w:r>
      <w:r w:rsidR="00C0215B" w:rsidRPr="00611F7F">
        <w:rPr>
          <w:rFonts w:ascii="Verdana" w:hAnsi="Verdana"/>
          <w:b/>
          <w:sz w:val="22"/>
          <w:szCs w:val="22"/>
        </w:rPr>
        <w:t>p</w:t>
      </w:r>
      <w:r w:rsidR="008120C4" w:rsidRPr="00611F7F">
        <w:rPr>
          <w:rFonts w:ascii="Verdana" w:hAnsi="Verdana"/>
          <w:b/>
          <w:sz w:val="22"/>
          <w:szCs w:val="22"/>
        </w:rPr>
        <w:t>rogram</w:t>
      </w:r>
      <w:r>
        <w:rPr>
          <w:rFonts w:ascii="Verdana" w:hAnsi="Verdana"/>
          <w:b/>
          <w:sz w:val="22"/>
          <w:szCs w:val="22"/>
        </w:rPr>
        <w:t xml:space="preserve">s mature </w:t>
      </w:r>
      <w:r w:rsidRPr="00611F7F">
        <w:rPr>
          <w:rFonts w:ascii="Verdana" w:hAnsi="Verdana"/>
          <w:b/>
          <w:sz w:val="22"/>
          <w:szCs w:val="22"/>
        </w:rPr>
        <w:t xml:space="preserve">in </w:t>
      </w:r>
      <w:r w:rsidR="00603A5B" w:rsidRPr="00611F7F">
        <w:rPr>
          <w:rFonts w:ascii="Verdana" w:hAnsi="Verdana"/>
          <w:b/>
          <w:sz w:val="22"/>
          <w:szCs w:val="22"/>
        </w:rPr>
        <w:t>2018</w:t>
      </w:r>
      <w:r w:rsidR="00027335" w:rsidRPr="00611F7F">
        <w:rPr>
          <w:rFonts w:ascii="Verdana" w:hAnsi="Verdana"/>
          <w:b/>
          <w:sz w:val="22"/>
          <w:szCs w:val="22"/>
        </w:rPr>
        <w:t>.</w:t>
      </w:r>
      <w:r w:rsidRPr="00611F7F">
        <w:rPr>
          <w:rFonts w:ascii="Verdana" w:hAnsi="Verdana"/>
          <w:b/>
          <w:sz w:val="22"/>
          <w:szCs w:val="22"/>
        </w:rPr>
        <w:t xml:space="preserve"> </w:t>
      </w:r>
      <w:r w:rsidRPr="00611F7F">
        <w:rPr>
          <w:rFonts w:ascii="Verdana" w:hAnsi="Verdana"/>
          <w:sz w:val="22"/>
          <w:szCs w:val="22"/>
        </w:rPr>
        <w:t xml:space="preserve">Agencies are required to develop an IT security audit plan annually, conduct an IT security audit on </w:t>
      </w:r>
      <w:r>
        <w:rPr>
          <w:rFonts w:ascii="Verdana" w:hAnsi="Verdana"/>
          <w:sz w:val="22"/>
          <w:szCs w:val="22"/>
        </w:rPr>
        <w:t>sensitive systems</w:t>
      </w:r>
      <w:r w:rsidRPr="00611F7F">
        <w:rPr>
          <w:rFonts w:ascii="Verdana" w:hAnsi="Verdana"/>
          <w:sz w:val="22"/>
          <w:szCs w:val="22"/>
        </w:rPr>
        <w:t xml:space="preserve"> and carry out corrective action plans for findings noted during the audits.</w:t>
      </w:r>
      <w:r>
        <w:rPr>
          <w:rFonts w:ascii="Verdana" w:hAnsi="Verdana"/>
          <w:sz w:val="22"/>
          <w:szCs w:val="22"/>
        </w:rPr>
        <w:t xml:space="preserve"> </w:t>
      </w:r>
      <w:r w:rsidR="00A87C2C" w:rsidRPr="00611F7F">
        <w:rPr>
          <w:rFonts w:ascii="Verdana" w:hAnsi="Verdana"/>
          <w:sz w:val="22"/>
          <w:szCs w:val="22"/>
        </w:rPr>
        <w:t xml:space="preserve">Audit </w:t>
      </w:r>
      <w:r w:rsidR="00477003" w:rsidRPr="00611F7F">
        <w:rPr>
          <w:rFonts w:ascii="Verdana" w:hAnsi="Verdana"/>
          <w:sz w:val="22"/>
          <w:szCs w:val="22"/>
        </w:rPr>
        <w:t xml:space="preserve">program compliance </w:t>
      </w:r>
      <w:r w:rsidR="00A87C2C" w:rsidRPr="00611F7F">
        <w:rPr>
          <w:rFonts w:ascii="Verdana" w:hAnsi="Verdana"/>
          <w:sz w:val="22"/>
          <w:szCs w:val="22"/>
        </w:rPr>
        <w:t xml:space="preserve">has improved </w:t>
      </w:r>
      <w:r w:rsidR="00477003" w:rsidRPr="00611F7F">
        <w:rPr>
          <w:rFonts w:ascii="Verdana" w:hAnsi="Verdana"/>
          <w:sz w:val="22"/>
          <w:szCs w:val="22"/>
        </w:rPr>
        <w:t xml:space="preserve">from the prior year, with </w:t>
      </w:r>
      <w:r w:rsidR="00610EA6">
        <w:rPr>
          <w:rFonts w:ascii="Verdana" w:hAnsi="Verdana"/>
          <w:sz w:val="22"/>
          <w:szCs w:val="22"/>
        </w:rPr>
        <w:t>44</w:t>
      </w:r>
      <w:r w:rsidR="00FB3CE0">
        <w:rPr>
          <w:rFonts w:ascii="Verdana" w:hAnsi="Verdana"/>
          <w:sz w:val="22"/>
          <w:szCs w:val="22"/>
        </w:rPr>
        <w:t>%</w:t>
      </w:r>
      <w:r w:rsidR="00A87C2C" w:rsidRPr="00611F7F">
        <w:rPr>
          <w:rFonts w:ascii="Verdana" w:hAnsi="Verdana"/>
          <w:sz w:val="22"/>
          <w:szCs w:val="22"/>
        </w:rPr>
        <w:t xml:space="preserve"> </w:t>
      </w:r>
      <w:r w:rsidR="0095069E" w:rsidRPr="00611F7F">
        <w:rPr>
          <w:rFonts w:ascii="Verdana" w:hAnsi="Verdana"/>
          <w:sz w:val="22"/>
          <w:szCs w:val="22"/>
        </w:rPr>
        <w:t>of agencies hav</w:t>
      </w:r>
      <w:r w:rsidR="00DF2259" w:rsidRPr="00611F7F">
        <w:rPr>
          <w:rFonts w:ascii="Verdana" w:hAnsi="Verdana"/>
          <w:sz w:val="22"/>
          <w:szCs w:val="22"/>
        </w:rPr>
        <w:t>ing</w:t>
      </w:r>
      <w:r w:rsidR="0095069E" w:rsidRPr="00611F7F">
        <w:rPr>
          <w:rFonts w:ascii="Verdana" w:hAnsi="Verdana"/>
          <w:sz w:val="22"/>
          <w:szCs w:val="22"/>
        </w:rPr>
        <w:t xml:space="preserve"> implemented a </w:t>
      </w:r>
      <w:r w:rsidR="00477003" w:rsidRPr="00611F7F">
        <w:rPr>
          <w:rFonts w:ascii="Verdana" w:hAnsi="Verdana"/>
          <w:sz w:val="22"/>
          <w:szCs w:val="22"/>
        </w:rPr>
        <w:t>comprehensive</w:t>
      </w:r>
      <w:r w:rsidR="0095069E" w:rsidRPr="00611F7F">
        <w:rPr>
          <w:rFonts w:ascii="Verdana" w:hAnsi="Verdana"/>
          <w:sz w:val="22"/>
          <w:szCs w:val="22"/>
        </w:rPr>
        <w:t xml:space="preserve"> audit program</w:t>
      </w:r>
      <w:r w:rsidR="00DF2259" w:rsidRPr="00611F7F">
        <w:rPr>
          <w:rFonts w:ascii="Verdana" w:hAnsi="Verdana"/>
          <w:sz w:val="22"/>
          <w:szCs w:val="22"/>
        </w:rPr>
        <w:t xml:space="preserve"> in </w:t>
      </w:r>
      <w:r w:rsidR="00603A5B" w:rsidRPr="00611F7F">
        <w:rPr>
          <w:rFonts w:ascii="Verdana" w:hAnsi="Verdana"/>
          <w:sz w:val="22"/>
          <w:szCs w:val="22"/>
        </w:rPr>
        <w:t>2018</w:t>
      </w:r>
      <w:r w:rsidR="00DF2259" w:rsidRPr="00611F7F">
        <w:rPr>
          <w:rFonts w:ascii="Verdana" w:hAnsi="Verdana"/>
          <w:sz w:val="22"/>
          <w:szCs w:val="22"/>
        </w:rPr>
        <w:t xml:space="preserve">, compared to </w:t>
      </w:r>
      <w:r w:rsidR="00CE0E44">
        <w:rPr>
          <w:rFonts w:ascii="Verdana" w:hAnsi="Verdana"/>
          <w:sz w:val="22"/>
          <w:szCs w:val="22"/>
        </w:rPr>
        <w:t>33</w:t>
      </w:r>
      <w:r w:rsidR="00FB3CE0">
        <w:rPr>
          <w:rFonts w:ascii="Verdana" w:hAnsi="Verdana"/>
          <w:sz w:val="22"/>
          <w:szCs w:val="22"/>
        </w:rPr>
        <w:t>%</w:t>
      </w:r>
      <w:r w:rsidR="0027649E" w:rsidRPr="00611F7F">
        <w:rPr>
          <w:rFonts w:ascii="Verdana" w:hAnsi="Verdana"/>
          <w:sz w:val="22"/>
          <w:szCs w:val="22"/>
        </w:rPr>
        <w:t xml:space="preserve"> of agencies with a </w:t>
      </w:r>
      <w:r w:rsidR="002B3913">
        <w:rPr>
          <w:rFonts w:ascii="Verdana" w:hAnsi="Verdana"/>
          <w:sz w:val="22"/>
          <w:szCs w:val="22"/>
        </w:rPr>
        <w:t>complete</w:t>
      </w:r>
      <w:r w:rsidR="00CE0E44">
        <w:rPr>
          <w:rFonts w:ascii="Verdana" w:hAnsi="Verdana"/>
          <w:sz w:val="22"/>
          <w:szCs w:val="22"/>
        </w:rPr>
        <w:t xml:space="preserve"> audit program last year. Improvements can be attributed to additional audits completed with funding designated for these programs, as well as the continued growth of the </w:t>
      </w:r>
      <w:r w:rsidR="00D90E08" w:rsidRPr="00611F7F">
        <w:rPr>
          <w:rFonts w:ascii="Verdana" w:hAnsi="Verdana"/>
          <w:sz w:val="22"/>
          <w:szCs w:val="22"/>
        </w:rPr>
        <w:t xml:space="preserve">VITA IT </w:t>
      </w:r>
      <w:r w:rsidR="00E17F5A" w:rsidRPr="00611F7F">
        <w:rPr>
          <w:rFonts w:ascii="Verdana" w:hAnsi="Verdana"/>
          <w:sz w:val="22"/>
          <w:szCs w:val="22"/>
        </w:rPr>
        <w:t>s</w:t>
      </w:r>
      <w:r w:rsidR="00D90E08" w:rsidRPr="00611F7F">
        <w:rPr>
          <w:rFonts w:ascii="Verdana" w:hAnsi="Verdana"/>
          <w:sz w:val="22"/>
          <w:szCs w:val="22"/>
        </w:rPr>
        <w:t xml:space="preserve">ecurity </w:t>
      </w:r>
      <w:r w:rsidR="00E17F5A" w:rsidRPr="00611F7F">
        <w:rPr>
          <w:rFonts w:ascii="Verdana" w:hAnsi="Verdana"/>
          <w:sz w:val="22"/>
          <w:szCs w:val="22"/>
        </w:rPr>
        <w:t>a</w:t>
      </w:r>
      <w:r w:rsidR="00D90E08" w:rsidRPr="00611F7F">
        <w:rPr>
          <w:rFonts w:ascii="Verdana" w:hAnsi="Verdana"/>
          <w:sz w:val="22"/>
          <w:szCs w:val="22"/>
        </w:rPr>
        <w:t xml:space="preserve">udit </w:t>
      </w:r>
      <w:r w:rsidR="00E17F5A" w:rsidRPr="00611F7F">
        <w:rPr>
          <w:rFonts w:ascii="Verdana" w:hAnsi="Verdana"/>
          <w:sz w:val="22"/>
          <w:szCs w:val="22"/>
        </w:rPr>
        <w:t>s</w:t>
      </w:r>
      <w:r w:rsidR="00D90E08" w:rsidRPr="00611F7F">
        <w:rPr>
          <w:rFonts w:ascii="Verdana" w:hAnsi="Verdana"/>
          <w:sz w:val="22"/>
          <w:szCs w:val="22"/>
        </w:rPr>
        <w:t>ervices</w:t>
      </w:r>
      <w:r w:rsidR="00CE0E44">
        <w:rPr>
          <w:rFonts w:ascii="Verdana" w:hAnsi="Verdana"/>
          <w:sz w:val="22"/>
          <w:szCs w:val="22"/>
        </w:rPr>
        <w:t xml:space="preserve"> program</w:t>
      </w:r>
      <w:r w:rsidR="00BE6756">
        <w:rPr>
          <w:rFonts w:ascii="Verdana" w:hAnsi="Verdana"/>
          <w:sz w:val="22"/>
          <w:szCs w:val="22"/>
        </w:rPr>
        <w:t xml:space="preserve"> that supports over 40</w:t>
      </w:r>
      <w:r w:rsidR="00FB3CE0">
        <w:rPr>
          <w:rFonts w:ascii="Verdana" w:hAnsi="Verdana"/>
          <w:sz w:val="22"/>
          <w:szCs w:val="22"/>
        </w:rPr>
        <w:t>%</w:t>
      </w:r>
      <w:r w:rsidR="00BE6756">
        <w:rPr>
          <w:rFonts w:ascii="Verdana" w:hAnsi="Verdana"/>
          <w:sz w:val="22"/>
          <w:szCs w:val="22"/>
        </w:rPr>
        <w:t xml:space="preserve"> of agency IT security audit programs</w:t>
      </w:r>
      <w:r w:rsidR="00CE0E44">
        <w:rPr>
          <w:rFonts w:ascii="Verdana" w:hAnsi="Verdana"/>
          <w:sz w:val="22"/>
          <w:szCs w:val="22"/>
        </w:rPr>
        <w:t xml:space="preserve">.  </w:t>
      </w:r>
    </w:p>
    <w:p w14:paraId="2BD54BEB" w14:textId="28D28090" w:rsidR="002E45C8" w:rsidRPr="00377362" w:rsidRDefault="00162A08" w:rsidP="00477003">
      <w:pPr>
        <w:spacing w:after="240"/>
        <w:ind w:right="720"/>
        <w:rPr>
          <w:noProof/>
          <w:highlight w:val="yellow"/>
        </w:rPr>
      </w:pPr>
      <w:r>
        <w:rPr>
          <w:noProof/>
        </w:rPr>
        <w:drawing>
          <wp:anchor distT="0" distB="0" distL="114300" distR="114300" simplePos="0" relativeHeight="251788288" behindDoc="0" locked="0" layoutInCell="1" allowOverlap="1" wp14:anchorId="1133E743" wp14:editId="0E056051">
            <wp:simplePos x="0" y="0"/>
            <wp:positionH relativeFrom="column">
              <wp:posOffset>26670</wp:posOffset>
            </wp:positionH>
            <wp:positionV relativeFrom="paragraph">
              <wp:posOffset>168275</wp:posOffset>
            </wp:positionV>
            <wp:extent cx="3732530" cy="1753235"/>
            <wp:effectExtent l="0" t="0" r="0" b="0"/>
            <wp:wrapSquare wrapText="bothSides"/>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Pr="00611F7F">
        <w:rPr>
          <w:noProof/>
        </w:rPr>
        <w:drawing>
          <wp:anchor distT="0" distB="0" distL="114300" distR="114300" simplePos="0" relativeHeight="251782144" behindDoc="0" locked="0" layoutInCell="1" allowOverlap="1" wp14:anchorId="66BCF5E9" wp14:editId="6E7A5591">
            <wp:simplePos x="0" y="0"/>
            <wp:positionH relativeFrom="column">
              <wp:posOffset>199390</wp:posOffset>
            </wp:positionH>
            <wp:positionV relativeFrom="paragraph">
              <wp:posOffset>182245</wp:posOffset>
            </wp:positionV>
            <wp:extent cx="2905125" cy="1924050"/>
            <wp:effectExtent l="0" t="0" r="0" b="0"/>
            <wp:wrapSquare wrapText="bothSides"/>
            <wp:docPr id="688" name="Chart 68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Pr="00377362">
        <w:rPr>
          <w:rFonts w:ascii="Verdana" w:hAnsi="Verdana"/>
          <w:noProof/>
          <w:sz w:val="22"/>
          <w:szCs w:val="22"/>
          <w:highlight w:val="yellow"/>
        </w:rPr>
        <mc:AlternateContent>
          <mc:Choice Requires="wps">
            <w:drawing>
              <wp:anchor distT="0" distB="0" distL="114300" distR="114300" simplePos="0" relativeHeight="251722752" behindDoc="1" locked="0" layoutInCell="1" allowOverlap="1" wp14:anchorId="660E6C50" wp14:editId="2E9AE337">
                <wp:simplePos x="0" y="0"/>
                <wp:positionH relativeFrom="column">
                  <wp:posOffset>952500</wp:posOffset>
                </wp:positionH>
                <wp:positionV relativeFrom="paragraph">
                  <wp:posOffset>314960</wp:posOffset>
                </wp:positionV>
                <wp:extent cx="457200" cy="640080"/>
                <wp:effectExtent l="19050" t="19050" r="38100" b="26670"/>
                <wp:wrapNone/>
                <wp:docPr id="778820" name="Up Arrow 7"/>
                <wp:cNvGraphicFramePr/>
                <a:graphic xmlns:a="http://schemas.openxmlformats.org/drawingml/2006/main">
                  <a:graphicData uri="http://schemas.microsoft.com/office/word/2010/wordprocessingShape">
                    <wps:wsp>
                      <wps:cNvSpPr/>
                      <wps:spPr>
                        <a:xfrm>
                          <a:off x="0" y="0"/>
                          <a:ext cx="457200" cy="640080"/>
                        </a:xfrm>
                        <a:prstGeom prst="upArrow">
                          <a:avLst/>
                        </a:prstGeom>
                        <a:solidFill>
                          <a:srgbClr val="00B050"/>
                        </a:solidFill>
                        <a:ln w="25400" cap="flat" cmpd="sng" algn="ctr">
                          <a:solidFill>
                            <a:srgbClr val="00B050"/>
                          </a:solidFill>
                          <a:prstDash val="solid"/>
                        </a:ln>
                        <a:effectLst/>
                      </wps:spPr>
                      <wps:bodyPr vertOverflow="clip"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FE06FB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75pt;margin-top:24.8pt;width:36pt;height:50.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" adj="7714" fillcolor="#00b050" strokecolor="#00b050" strokeweight="2pt"/>
            </w:pict>
          </mc:Fallback>
        </mc:AlternateContent>
      </w:r>
    </w:p>
    <w:p w14:paraId="58971645" w14:textId="0A30B94A" w:rsidR="002E45C8" w:rsidRPr="00377362" w:rsidRDefault="002E45C8" w:rsidP="00477003">
      <w:pPr>
        <w:spacing w:after="240"/>
        <w:ind w:right="720"/>
        <w:rPr>
          <w:noProof/>
          <w:highlight w:val="yellow"/>
        </w:rPr>
      </w:pPr>
    </w:p>
    <w:p w14:paraId="7255E269" w14:textId="77777777" w:rsidR="002E45C8" w:rsidRPr="00377362" w:rsidRDefault="002E45C8" w:rsidP="00477003">
      <w:pPr>
        <w:spacing w:after="240"/>
        <w:ind w:right="720"/>
        <w:rPr>
          <w:noProof/>
          <w:highlight w:val="yellow"/>
        </w:rPr>
      </w:pPr>
    </w:p>
    <w:p w14:paraId="63DBDC0A" w14:textId="23F28671" w:rsidR="002E45C8" w:rsidRPr="00377362" w:rsidRDefault="002B3913" w:rsidP="00477003">
      <w:pPr>
        <w:spacing w:after="240"/>
        <w:ind w:right="720"/>
        <w:rPr>
          <w:noProof/>
          <w:highlight w:val="yellow"/>
        </w:rPr>
      </w:pPr>
      <w:r w:rsidRPr="00377362">
        <w:rPr>
          <w:rFonts w:ascii="Verdana" w:hAnsi="Verdana"/>
          <w:b/>
          <w:noProof/>
          <w:sz w:val="22"/>
          <w:szCs w:val="22"/>
          <w:highlight w:val="yellow"/>
        </w:rPr>
        <mc:AlternateContent>
          <mc:Choice Requires="wps">
            <w:drawing>
              <wp:anchor distT="0" distB="0" distL="114300" distR="114300" simplePos="0" relativeHeight="251787264" behindDoc="0" locked="0" layoutInCell="1" allowOverlap="1" wp14:anchorId="2A1C51F4" wp14:editId="7FC64704">
                <wp:simplePos x="0" y="0"/>
                <wp:positionH relativeFrom="column">
                  <wp:posOffset>-58420</wp:posOffset>
                </wp:positionH>
                <wp:positionV relativeFrom="paragraph">
                  <wp:posOffset>52070</wp:posOffset>
                </wp:positionV>
                <wp:extent cx="2738755" cy="40005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5DB6C" w14:textId="45E17149" w:rsidR="004B53EA" w:rsidRDefault="004B53EA" w:rsidP="002B3913">
                            <w:pPr>
                              <w:jc w:val="center"/>
                              <w:rPr>
                                <w:rFonts w:ascii="Verdana" w:hAnsi="Verdana"/>
                                <w:b/>
                                <w:sz w:val="20"/>
                                <w:szCs w:val="20"/>
                              </w:rPr>
                            </w:pPr>
                            <w:r>
                              <w:rPr>
                                <w:rFonts w:ascii="Verdana" w:hAnsi="Verdana"/>
                                <w:b/>
                                <w:sz w:val="20"/>
                                <w:szCs w:val="20"/>
                              </w:rPr>
                              <w:t>Audit program compliance improved by 11 percent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1" o:spid="_x0000_s1029" type="#_x0000_t202" style="position:absolute;margin-left:-4.6pt;margin-top:4.1pt;width:215.65pt;height:31.5pt;z-index:251787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" stroked="f">
                <v:textbox style="mso-fit-shape-to-text:t">
                  <w:txbxContent>
                    <w:p w14:paraId="6A85DB6C" w14:textId="45E17149" w:rsidR="004B53EA" w:rsidRDefault="004B53EA" w:rsidP="002B3913">
                      <w:pPr>
                        <w:jc w:val="center"/>
                        <w:rPr>
                          <w:rFonts w:ascii="Verdana" w:hAnsi="Verdana"/>
                          <w:b/>
                          <w:sz w:val="20"/>
                          <w:szCs w:val="20"/>
                        </w:rPr>
                      </w:pPr>
                      <w:r>
                        <w:rPr>
                          <w:rFonts w:ascii="Verdana" w:hAnsi="Verdana"/>
                          <w:b/>
                          <w:sz w:val="20"/>
                          <w:szCs w:val="20"/>
                        </w:rPr>
                        <w:t>Audit program compliance improved by 11 percent</w:t>
                      </w:r>
                    </w:p>
                  </w:txbxContent>
                </v:textbox>
              </v:shape>
            </w:pict>
          </mc:Fallback>
        </mc:AlternateContent>
      </w:r>
    </w:p>
    <w:p w14:paraId="04955C41" w14:textId="52D697EB" w:rsidR="002E45C8" w:rsidRPr="00377362" w:rsidRDefault="002E45C8" w:rsidP="00477003">
      <w:pPr>
        <w:spacing w:after="240"/>
        <w:ind w:right="720"/>
        <w:rPr>
          <w:noProof/>
          <w:highlight w:val="yellow"/>
        </w:rPr>
      </w:pPr>
    </w:p>
    <w:p w14:paraId="4075A689" w14:textId="77777777" w:rsidR="00AA3D2C" w:rsidRDefault="00AA3D2C" w:rsidP="0095069E">
      <w:pPr>
        <w:spacing w:after="240"/>
        <w:rPr>
          <w:rFonts w:ascii="Verdana" w:hAnsi="Verdana"/>
          <w:b/>
          <w:sz w:val="22"/>
          <w:szCs w:val="22"/>
        </w:rPr>
      </w:pPr>
    </w:p>
    <w:p w14:paraId="0485AA85" w14:textId="77777777" w:rsidR="00AA3D2C" w:rsidRDefault="00AA3D2C" w:rsidP="00AA3D2C">
      <w:pPr>
        <w:contextualSpacing/>
        <w:rPr>
          <w:rFonts w:ascii="Verdana" w:hAnsi="Verdana"/>
          <w:b/>
          <w:sz w:val="22"/>
          <w:szCs w:val="22"/>
        </w:rPr>
      </w:pPr>
    </w:p>
    <w:p w14:paraId="7D12D7EF" w14:textId="0A3B11D3" w:rsidR="0095069E" w:rsidRPr="00162A08" w:rsidRDefault="00162A08" w:rsidP="00AA3D2C">
      <w:pPr>
        <w:contextualSpacing/>
        <w:rPr>
          <w:rFonts w:ascii="Verdana" w:hAnsi="Verdana"/>
          <w:sz w:val="22"/>
          <w:szCs w:val="22"/>
        </w:rPr>
      </w:pPr>
      <w:r w:rsidRPr="00162A08">
        <w:rPr>
          <w:rFonts w:ascii="Verdana" w:hAnsi="Verdana"/>
          <w:b/>
          <w:sz w:val="22"/>
          <w:szCs w:val="22"/>
        </w:rPr>
        <w:t>A</w:t>
      </w:r>
      <w:r w:rsidR="000F1225" w:rsidRPr="00162A08">
        <w:rPr>
          <w:rFonts w:ascii="Verdana" w:hAnsi="Verdana"/>
          <w:b/>
          <w:sz w:val="22"/>
          <w:szCs w:val="22"/>
        </w:rPr>
        <w:t xml:space="preserve">gencies </w:t>
      </w:r>
      <w:r w:rsidRPr="00162A08">
        <w:rPr>
          <w:rFonts w:ascii="Verdana" w:hAnsi="Verdana"/>
          <w:b/>
          <w:sz w:val="22"/>
          <w:szCs w:val="22"/>
        </w:rPr>
        <w:t xml:space="preserve">generally submit </w:t>
      </w:r>
      <w:r w:rsidR="0095069E" w:rsidRPr="00162A08">
        <w:rPr>
          <w:rFonts w:ascii="Verdana" w:hAnsi="Verdana"/>
          <w:b/>
          <w:sz w:val="22"/>
          <w:szCs w:val="22"/>
        </w:rPr>
        <w:t>IT security audit plan</w:t>
      </w:r>
      <w:r w:rsidR="000F1225" w:rsidRPr="00162A08">
        <w:rPr>
          <w:rFonts w:ascii="Verdana" w:hAnsi="Verdana"/>
          <w:b/>
          <w:sz w:val="22"/>
          <w:szCs w:val="22"/>
        </w:rPr>
        <w:t>s</w:t>
      </w:r>
      <w:r w:rsidR="006B0DAB" w:rsidRPr="00162A08">
        <w:rPr>
          <w:rFonts w:ascii="Verdana" w:hAnsi="Verdana"/>
          <w:b/>
          <w:sz w:val="22"/>
          <w:szCs w:val="22"/>
        </w:rPr>
        <w:t xml:space="preserve"> in accordance with requirements</w:t>
      </w:r>
      <w:r w:rsidR="0092690E" w:rsidRPr="00162A08">
        <w:rPr>
          <w:rFonts w:ascii="Verdana" w:hAnsi="Verdana"/>
          <w:b/>
          <w:sz w:val="22"/>
          <w:szCs w:val="22"/>
        </w:rPr>
        <w:t xml:space="preserve">. </w:t>
      </w:r>
      <w:r w:rsidR="00552888" w:rsidRPr="00162A08">
        <w:rPr>
          <w:rFonts w:ascii="Verdana" w:hAnsi="Verdana"/>
          <w:sz w:val="22"/>
          <w:szCs w:val="22"/>
        </w:rPr>
        <w:t xml:space="preserve"> </w:t>
      </w:r>
      <w:r w:rsidRPr="00162A08">
        <w:rPr>
          <w:rFonts w:ascii="Verdana" w:hAnsi="Verdana"/>
          <w:sz w:val="22"/>
          <w:szCs w:val="22"/>
        </w:rPr>
        <w:t xml:space="preserve">IT security audit plans are important </w:t>
      </w:r>
      <w:r>
        <w:rPr>
          <w:rFonts w:ascii="Verdana" w:hAnsi="Verdana"/>
          <w:sz w:val="22"/>
          <w:szCs w:val="22"/>
        </w:rPr>
        <w:t xml:space="preserve">measure </w:t>
      </w:r>
      <w:r w:rsidRPr="00162A08">
        <w:rPr>
          <w:rFonts w:ascii="Verdana" w:hAnsi="Verdana"/>
          <w:sz w:val="22"/>
          <w:szCs w:val="22"/>
        </w:rPr>
        <w:t>because they demonstrate the agencies</w:t>
      </w:r>
      <w:r w:rsidR="00FB3CE0">
        <w:rPr>
          <w:rFonts w:ascii="Verdana" w:hAnsi="Verdana"/>
          <w:sz w:val="22"/>
          <w:szCs w:val="22"/>
        </w:rPr>
        <w:t>’</w:t>
      </w:r>
      <w:r w:rsidRPr="00162A08">
        <w:rPr>
          <w:rFonts w:ascii="Verdana" w:hAnsi="Verdana"/>
          <w:sz w:val="22"/>
          <w:szCs w:val="22"/>
        </w:rPr>
        <w:t xml:space="preserve"> intentions to complete the</w:t>
      </w:r>
      <w:r>
        <w:rPr>
          <w:rFonts w:ascii="Verdana" w:hAnsi="Verdana"/>
          <w:sz w:val="22"/>
          <w:szCs w:val="22"/>
        </w:rPr>
        <w:t xml:space="preserve"> required</w:t>
      </w:r>
      <w:r w:rsidRPr="00162A08">
        <w:rPr>
          <w:rFonts w:ascii="Verdana" w:hAnsi="Verdana"/>
          <w:sz w:val="22"/>
          <w:szCs w:val="22"/>
        </w:rPr>
        <w:t xml:space="preserve"> audits of their sensitive information systems within the required timeframes</w:t>
      </w:r>
      <w:r>
        <w:rPr>
          <w:rFonts w:ascii="Verdana" w:hAnsi="Verdana"/>
          <w:sz w:val="22"/>
          <w:szCs w:val="22"/>
        </w:rPr>
        <w:t xml:space="preserve">. </w:t>
      </w:r>
      <w:r w:rsidR="00552888" w:rsidRPr="00162A08">
        <w:rPr>
          <w:rFonts w:ascii="Verdana" w:hAnsi="Verdana"/>
          <w:sz w:val="22"/>
          <w:szCs w:val="22"/>
        </w:rPr>
        <w:t xml:space="preserve">In </w:t>
      </w:r>
      <w:r w:rsidR="00603A5B" w:rsidRPr="00162A08">
        <w:rPr>
          <w:rFonts w:ascii="Verdana" w:hAnsi="Verdana"/>
          <w:sz w:val="22"/>
          <w:szCs w:val="22"/>
        </w:rPr>
        <w:t>2018</w:t>
      </w:r>
      <w:r w:rsidR="00552888" w:rsidRPr="00162A08">
        <w:rPr>
          <w:rFonts w:ascii="Verdana" w:hAnsi="Verdana"/>
          <w:sz w:val="22"/>
          <w:szCs w:val="22"/>
        </w:rPr>
        <w:t>,</w:t>
      </w:r>
      <w:r w:rsidR="00006AAB">
        <w:rPr>
          <w:rFonts w:ascii="Verdana" w:hAnsi="Verdana"/>
          <w:sz w:val="22"/>
          <w:szCs w:val="22"/>
        </w:rPr>
        <w:t xml:space="preserve"> 90% of agencies submitted an IT security audit plan. These results were consistent with last year’s metrics</w:t>
      </w:r>
      <w:r w:rsidR="00902DB3">
        <w:rPr>
          <w:rFonts w:ascii="Verdana" w:hAnsi="Verdana"/>
          <w:sz w:val="22"/>
          <w:szCs w:val="22"/>
        </w:rPr>
        <w:t xml:space="preserve"> which were driven by VITA </w:t>
      </w:r>
      <w:r w:rsidR="00FB3CE0">
        <w:rPr>
          <w:rFonts w:ascii="Verdana" w:hAnsi="Verdana"/>
          <w:sz w:val="22"/>
          <w:szCs w:val="22"/>
        </w:rPr>
        <w:t>a</w:t>
      </w:r>
      <w:r w:rsidR="00902DB3">
        <w:rPr>
          <w:rFonts w:ascii="Verdana" w:hAnsi="Verdana"/>
          <w:sz w:val="22"/>
          <w:szCs w:val="22"/>
        </w:rPr>
        <w:t xml:space="preserve">udit </w:t>
      </w:r>
      <w:r w:rsidR="00FB3CE0">
        <w:rPr>
          <w:rFonts w:ascii="Verdana" w:hAnsi="Verdana"/>
          <w:sz w:val="22"/>
          <w:szCs w:val="22"/>
        </w:rPr>
        <w:t>s</w:t>
      </w:r>
      <w:r w:rsidR="00902DB3">
        <w:rPr>
          <w:rFonts w:ascii="Verdana" w:hAnsi="Verdana"/>
          <w:sz w:val="22"/>
          <w:szCs w:val="22"/>
        </w:rPr>
        <w:t>ervices that completed over 40% of agency IT security audit plans</w:t>
      </w:r>
      <w:r w:rsidR="00006AAB">
        <w:rPr>
          <w:rFonts w:ascii="Verdana" w:hAnsi="Verdana"/>
          <w:sz w:val="22"/>
          <w:szCs w:val="22"/>
        </w:rPr>
        <w:t xml:space="preserve">. </w:t>
      </w:r>
      <w:r>
        <w:rPr>
          <w:rFonts w:ascii="Verdana" w:hAnsi="Verdana"/>
          <w:sz w:val="22"/>
          <w:szCs w:val="22"/>
        </w:rPr>
        <w:t>This indicates that agencies are</w:t>
      </w:r>
      <w:r w:rsidR="00006AAB">
        <w:rPr>
          <w:rFonts w:ascii="Verdana" w:hAnsi="Verdana"/>
          <w:sz w:val="22"/>
          <w:szCs w:val="22"/>
        </w:rPr>
        <w:t xml:space="preserve"> aware of this requirement and generally comply. CSRM will continue to work with the agencies that have not met this requirement and determine what additional resources are needed for these agencies to comply.  </w:t>
      </w:r>
    </w:p>
    <w:p w14:paraId="56F2F8EA" w14:textId="7FB320D4" w:rsidR="00E60AFD" w:rsidRPr="00377362" w:rsidRDefault="00865C6D" w:rsidP="003073DD">
      <w:pPr>
        <w:spacing w:after="240"/>
        <w:rPr>
          <w:rFonts w:ascii="Verdana" w:hAnsi="Verdana"/>
          <w:b/>
          <w:sz w:val="22"/>
          <w:szCs w:val="22"/>
          <w:highlight w:val="yellow"/>
        </w:rPr>
      </w:pPr>
      <w:r w:rsidRPr="00377362">
        <w:rPr>
          <w:rFonts w:ascii="Verdana" w:hAnsi="Verdana"/>
          <w:b/>
          <w:noProof/>
          <w:sz w:val="22"/>
          <w:szCs w:val="22"/>
          <w:highlight w:val="yellow"/>
        </w:rPr>
        <mc:AlternateContent>
          <mc:Choice Requires="wps">
            <w:drawing>
              <wp:anchor distT="0" distB="0" distL="114300" distR="114300" simplePos="0" relativeHeight="251746304" behindDoc="0" locked="0" layoutInCell="1" allowOverlap="1" wp14:anchorId="45CB038B" wp14:editId="2F5741E7">
                <wp:simplePos x="0" y="0"/>
                <wp:positionH relativeFrom="column">
                  <wp:posOffset>3378200</wp:posOffset>
                </wp:positionH>
                <wp:positionV relativeFrom="paragraph">
                  <wp:posOffset>843915</wp:posOffset>
                </wp:positionV>
                <wp:extent cx="2738755" cy="400050"/>
                <wp:effectExtent l="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9786F" w14:textId="77777777" w:rsidR="004B53EA" w:rsidRDefault="004B53EA" w:rsidP="00E60AFD">
                            <w:pPr>
                              <w:jc w:val="center"/>
                              <w:rPr>
                                <w:rFonts w:ascii="Verdana" w:hAnsi="Verdana"/>
                                <w:b/>
                                <w:sz w:val="20"/>
                                <w:szCs w:val="20"/>
                              </w:rPr>
                            </w:pPr>
                            <w:r>
                              <w:rPr>
                                <w:rFonts w:ascii="Verdana" w:hAnsi="Verdana"/>
                                <w:b/>
                                <w:sz w:val="20"/>
                                <w:szCs w:val="20"/>
                              </w:rPr>
                              <w:t>IT security audit plans submitted</w:t>
                            </w:r>
                          </w:p>
                          <w:p w14:paraId="03AE32BD" w14:textId="1727837A" w:rsidR="004B53EA" w:rsidRDefault="004B53EA" w:rsidP="00E60AFD">
                            <w:pPr>
                              <w:jc w:val="center"/>
                              <w:rPr>
                                <w:rFonts w:ascii="Verdana" w:hAnsi="Verdana"/>
                                <w:b/>
                                <w:sz w:val="20"/>
                                <w:szCs w:val="20"/>
                              </w:rPr>
                            </w:pPr>
                            <w:r>
                              <w:rPr>
                                <w:rFonts w:ascii="Verdana" w:hAnsi="Verdana"/>
                                <w:b/>
                                <w:sz w:val="20"/>
                                <w:szCs w:val="20"/>
                              </w:rPr>
                              <w:t>remained the same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266pt;margin-top:66.45pt;width:215.65pt;height:31.5pt;z-index:2517463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" stroked="f">
                <v:textbox style="mso-fit-shape-to-text:t">
                  <w:txbxContent>
                    <w:p w14:paraId="7D99786F" w14:textId="77777777" w:rsidR="004B53EA" w:rsidRDefault="004B53EA" w:rsidP="00E60AFD">
                      <w:pPr>
                        <w:jc w:val="center"/>
                        <w:rPr>
                          <w:rFonts w:ascii="Verdana" w:hAnsi="Verdana"/>
                          <w:b/>
                          <w:sz w:val="20"/>
                          <w:szCs w:val="20"/>
                        </w:rPr>
                      </w:pPr>
                      <w:r>
                        <w:rPr>
                          <w:rFonts w:ascii="Verdana" w:hAnsi="Verdana"/>
                          <w:b/>
                          <w:sz w:val="20"/>
                          <w:szCs w:val="20"/>
                        </w:rPr>
                        <w:t>IT security audit plans submitted</w:t>
                      </w:r>
                    </w:p>
                    <w:p w14:paraId="03AE32BD" w14:textId="1727837A" w:rsidR="004B53EA" w:rsidRDefault="004B53EA" w:rsidP="00E60AFD">
                      <w:pPr>
                        <w:jc w:val="center"/>
                        <w:rPr>
                          <w:rFonts w:ascii="Verdana" w:hAnsi="Verdana"/>
                          <w:b/>
                          <w:sz w:val="20"/>
                          <w:szCs w:val="20"/>
                        </w:rPr>
                      </w:pPr>
                      <w:r>
                        <w:rPr>
                          <w:rFonts w:ascii="Verdana" w:hAnsi="Verdana"/>
                          <w:b/>
                          <w:sz w:val="20"/>
                          <w:szCs w:val="20"/>
                        </w:rPr>
                        <w:t>remained the same</w:t>
                      </w:r>
                    </w:p>
                  </w:txbxContent>
                </v:textbox>
              </v:shape>
            </w:pict>
          </mc:Fallback>
        </mc:AlternateContent>
      </w:r>
      <w:r w:rsidR="00552888" w:rsidRPr="00377362">
        <w:rPr>
          <w:noProof/>
          <w:highlight w:val="yellow"/>
        </w:rPr>
        <w:drawing>
          <wp:inline distT="0" distB="0" distL="0" distR="0" wp14:anchorId="472E5399" wp14:editId="35DCCE90">
            <wp:extent cx="3621024" cy="2231136"/>
            <wp:effectExtent l="0" t="0" r="0" b="0"/>
            <wp:docPr id="689" name="Chart 6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244040C" w14:textId="07AD8054" w:rsidR="00A018F3" w:rsidRPr="00006AAB" w:rsidRDefault="00006AAB" w:rsidP="0069559F">
      <w:pPr>
        <w:spacing w:after="240"/>
        <w:contextualSpacing/>
        <w:rPr>
          <w:rFonts w:ascii="Verdana" w:hAnsi="Verdana"/>
          <w:sz w:val="22"/>
          <w:szCs w:val="22"/>
        </w:rPr>
      </w:pPr>
      <w:r>
        <w:rPr>
          <w:rFonts w:ascii="Verdana" w:hAnsi="Verdana"/>
          <w:b/>
          <w:sz w:val="22"/>
          <w:szCs w:val="22"/>
        </w:rPr>
        <w:t>Agency three</w:t>
      </w:r>
      <w:r w:rsidR="00FB3CE0">
        <w:rPr>
          <w:rFonts w:ascii="Verdana" w:hAnsi="Verdana"/>
          <w:b/>
          <w:sz w:val="22"/>
          <w:szCs w:val="22"/>
        </w:rPr>
        <w:t>-</w:t>
      </w:r>
      <w:r>
        <w:rPr>
          <w:rFonts w:ascii="Verdana" w:hAnsi="Verdana"/>
          <w:b/>
          <w:sz w:val="22"/>
          <w:szCs w:val="22"/>
        </w:rPr>
        <w:t xml:space="preserve">year audit obligation metrics improve. </w:t>
      </w:r>
      <w:r w:rsidR="007F7B8F" w:rsidRPr="00006AAB">
        <w:rPr>
          <w:rFonts w:ascii="Verdana" w:hAnsi="Verdana"/>
          <w:sz w:val="22"/>
          <w:szCs w:val="22"/>
        </w:rPr>
        <w:t xml:space="preserve">Of the agencies that have established an audit plan, </w:t>
      </w:r>
      <w:r>
        <w:rPr>
          <w:rFonts w:ascii="Verdana" w:hAnsi="Verdana"/>
          <w:sz w:val="22"/>
          <w:szCs w:val="22"/>
        </w:rPr>
        <w:t>36</w:t>
      </w:r>
      <w:r w:rsidR="00FB3CE0">
        <w:rPr>
          <w:rFonts w:ascii="Verdana" w:hAnsi="Verdana"/>
          <w:sz w:val="22"/>
          <w:szCs w:val="22"/>
        </w:rPr>
        <w:t>%</w:t>
      </w:r>
      <w:r>
        <w:rPr>
          <w:rFonts w:ascii="Verdana" w:hAnsi="Verdana"/>
          <w:sz w:val="22"/>
          <w:szCs w:val="22"/>
        </w:rPr>
        <w:t xml:space="preserve"> have </w:t>
      </w:r>
      <w:r w:rsidR="00FB2AD1" w:rsidRPr="00006AAB">
        <w:rPr>
          <w:rFonts w:ascii="Verdana" w:hAnsi="Verdana"/>
          <w:sz w:val="22"/>
          <w:szCs w:val="22"/>
        </w:rPr>
        <w:t>fulfilled the</w:t>
      </w:r>
      <w:r w:rsidR="00984FC2" w:rsidRPr="00006AAB">
        <w:rPr>
          <w:rFonts w:ascii="Verdana" w:hAnsi="Verdana"/>
          <w:sz w:val="22"/>
          <w:szCs w:val="22"/>
        </w:rPr>
        <w:t>ir</w:t>
      </w:r>
      <w:r w:rsidR="00FB2AD1" w:rsidRPr="00006AAB">
        <w:rPr>
          <w:rFonts w:ascii="Verdana" w:hAnsi="Verdana"/>
          <w:sz w:val="22"/>
          <w:szCs w:val="22"/>
        </w:rPr>
        <w:t xml:space="preserve"> obligation to have every sensitive system audited at least once every three years,</w:t>
      </w:r>
      <w:r>
        <w:rPr>
          <w:rFonts w:ascii="Verdana" w:hAnsi="Verdana"/>
          <w:sz w:val="22"/>
          <w:szCs w:val="22"/>
        </w:rPr>
        <w:t xml:space="preserve"> up from </w:t>
      </w:r>
      <w:r w:rsidRPr="00006AAB">
        <w:rPr>
          <w:rFonts w:ascii="Verdana" w:hAnsi="Verdana"/>
          <w:sz w:val="22"/>
          <w:szCs w:val="22"/>
        </w:rPr>
        <w:t>28</w:t>
      </w:r>
      <w:r w:rsidR="006F72F0">
        <w:rPr>
          <w:rFonts w:ascii="Verdana" w:hAnsi="Verdana"/>
          <w:sz w:val="22"/>
          <w:szCs w:val="22"/>
        </w:rPr>
        <w:t>%</w:t>
      </w:r>
      <w:r>
        <w:rPr>
          <w:rFonts w:ascii="Verdana" w:hAnsi="Verdana"/>
          <w:sz w:val="22"/>
          <w:szCs w:val="22"/>
        </w:rPr>
        <w:t xml:space="preserve"> last year. This moderate increase</w:t>
      </w:r>
      <w:r w:rsidR="00626011">
        <w:rPr>
          <w:rFonts w:ascii="Verdana" w:hAnsi="Verdana"/>
          <w:sz w:val="22"/>
          <w:szCs w:val="22"/>
        </w:rPr>
        <w:t xml:space="preserve"> </w:t>
      </w:r>
      <w:r w:rsidR="000863A0">
        <w:rPr>
          <w:rFonts w:ascii="Verdana" w:hAnsi="Verdana"/>
          <w:sz w:val="22"/>
          <w:szCs w:val="22"/>
        </w:rPr>
        <w:t>is</w:t>
      </w:r>
      <w:r w:rsidR="005240DC">
        <w:rPr>
          <w:rFonts w:ascii="Verdana" w:hAnsi="Verdana"/>
          <w:sz w:val="22"/>
          <w:szCs w:val="22"/>
        </w:rPr>
        <w:t xml:space="preserve"> attributed to agencies using funds provided for security services to conduct audits and </w:t>
      </w:r>
      <w:r w:rsidR="000863A0">
        <w:rPr>
          <w:rFonts w:ascii="Verdana" w:hAnsi="Verdana"/>
          <w:sz w:val="22"/>
          <w:szCs w:val="22"/>
        </w:rPr>
        <w:t xml:space="preserve">the utilization of </w:t>
      </w:r>
      <w:r w:rsidR="005240DC">
        <w:rPr>
          <w:rFonts w:ascii="Verdana" w:hAnsi="Verdana"/>
          <w:sz w:val="22"/>
          <w:szCs w:val="22"/>
        </w:rPr>
        <w:t xml:space="preserve">VITA </w:t>
      </w:r>
      <w:r w:rsidR="000863A0">
        <w:rPr>
          <w:rFonts w:ascii="Verdana" w:hAnsi="Verdana"/>
          <w:sz w:val="22"/>
          <w:szCs w:val="22"/>
        </w:rPr>
        <w:t xml:space="preserve">IT </w:t>
      </w:r>
      <w:r w:rsidR="006F72F0">
        <w:rPr>
          <w:rFonts w:ascii="Verdana" w:hAnsi="Verdana"/>
          <w:sz w:val="22"/>
          <w:szCs w:val="22"/>
        </w:rPr>
        <w:t>a</w:t>
      </w:r>
      <w:r w:rsidR="005240DC">
        <w:rPr>
          <w:rFonts w:ascii="Verdana" w:hAnsi="Verdana"/>
          <w:sz w:val="22"/>
          <w:szCs w:val="22"/>
        </w:rPr>
        <w:t xml:space="preserve">udit </w:t>
      </w:r>
      <w:r w:rsidR="006F72F0">
        <w:rPr>
          <w:rFonts w:ascii="Verdana" w:hAnsi="Verdana"/>
          <w:sz w:val="22"/>
          <w:szCs w:val="22"/>
        </w:rPr>
        <w:t>s</w:t>
      </w:r>
      <w:r w:rsidR="005240DC">
        <w:rPr>
          <w:rFonts w:ascii="Verdana" w:hAnsi="Verdana"/>
          <w:sz w:val="22"/>
          <w:szCs w:val="22"/>
        </w:rPr>
        <w:t xml:space="preserve">ervices </w:t>
      </w:r>
      <w:r w:rsidR="000863A0">
        <w:rPr>
          <w:rFonts w:ascii="Verdana" w:hAnsi="Verdana"/>
          <w:sz w:val="22"/>
          <w:szCs w:val="22"/>
        </w:rPr>
        <w:t xml:space="preserve">to </w:t>
      </w:r>
      <w:r w:rsidR="005240DC">
        <w:rPr>
          <w:rFonts w:ascii="Verdana" w:hAnsi="Verdana"/>
          <w:sz w:val="22"/>
          <w:szCs w:val="22"/>
        </w:rPr>
        <w:t xml:space="preserve">conduct audits </w:t>
      </w:r>
      <w:r w:rsidR="000863A0">
        <w:rPr>
          <w:rFonts w:ascii="Verdana" w:hAnsi="Verdana"/>
          <w:sz w:val="22"/>
          <w:szCs w:val="22"/>
        </w:rPr>
        <w:t>for many</w:t>
      </w:r>
      <w:r w:rsidR="005240DC">
        <w:rPr>
          <w:rFonts w:ascii="Verdana" w:hAnsi="Verdana"/>
          <w:sz w:val="22"/>
          <w:szCs w:val="22"/>
        </w:rPr>
        <w:t xml:space="preserve"> agencies that had not </w:t>
      </w:r>
      <w:r w:rsidR="004C10C9">
        <w:rPr>
          <w:rFonts w:ascii="Verdana" w:hAnsi="Verdana"/>
          <w:sz w:val="22"/>
          <w:szCs w:val="22"/>
        </w:rPr>
        <w:t xml:space="preserve">been </w:t>
      </w:r>
      <w:r w:rsidR="005240DC">
        <w:rPr>
          <w:rFonts w:ascii="Verdana" w:hAnsi="Verdana"/>
          <w:sz w:val="22"/>
          <w:szCs w:val="22"/>
        </w:rPr>
        <w:t>conduct</w:t>
      </w:r>
      <w:r w:rsidR="000863A0">
        <w:rPr>
          <w:rFonts w:ascii="Verdana" w:hAnsi="Verdana"/>
          <w:sz w:val="22"/>
          <w:szCs w:val="22"/>
        </w:rPr>
        <w:t>ing</w:t>
      </w:r>
      <w:r w:rsidR="005240DC">
        <w:rPr>
          <w:rFonts w:ascii="Verdana" w:hAnsi="Verdana"/>
          <w:sz w:val="22"/>
          <w:szCs w:val="22"/>
        </w:rPr>
        <w:t xml:space="preserve"> them in the past. </w:t>
      </w:r>
      <w:r w:rsidR="00A018F3" w:rsidRPr="005240DC">
        <w:rPr>
          <w:rFonts w:ascii="Verdana" w:hAnsi="Verdana"/>
          <w:sz w:val="22"/>
          <w:szCs w:val="22"/>
        </w:rPr>
        <w:t>CS</w:t>
      </w:r>
      <w:r w:rsidR="007F2DCD" w:rsidRPr="005240DC">
        <w:rPr>
          <w:rFonts w:ascii="Verdana" w:hAnsi="Verdana"/>
          <w:sz w:val="22"/>
          <w:szCs w:val="22"/>
        </w:rPr>
        <w:t xml:space="preserve">RM </w:t>
      </w:r>
      <w:r w:rsidR="005240DC" w:rsidRPr="005240DC">
        <w:rPr>
          <w:rFonts w:ascii="Verdana" w:hAnsi="Verdana"/>
          <w:sz w:val="22"/>
          <w:szCs w:val="22"/>
        </w:rPr>
        <w:t xml:space="preserve">anticipates that this metric will </w:t>
      </w:r>
      <w:r w:rsidR="005240DC">
        <w:rPr>
          <w:rFonts w:ascii="Verdana" w:hAnsi="Verdana"/>
          <w:sz w:val="22"/>
          <w:szCs w:val="22"/>
        </w:rPr>
        <w:t>progress.</w:t>
      </w:r>
    </w:p>
    <w:p w14:paraId="54A29C81" w14:textId="635BDF48" w:rsidR="00B62C88" w:rsidRPr="00626011" w:rsidRDefault="00257F4D" w:rsidP="00214ABA">
      <w:pPr>
        <w:spacing w:after="240"/>
        <w:rPr>
          <w:rFonts w:ascii="Verdana" w:hAnsi="Verdana"/>
          <w:b/>
          <w:sz w:val="22"/>
          <w:szCs w:val="22"/>
        </w:rPr>
      </w:pPr>
      <w:r w:rsidRPr="00626011">
        <w:rPr>
          <w:rFonts w:ascii="Verdana" w:hAnsi="Verdana"/>
          <w:noProof/>
          <w:sz w:val="22"/>
          <w:szCs w:val="22"/>
        </w:rPr>
        <mc:AlternateContent>
          <mc:Choice Requires="wps">
            <w:drawing>
              <wp:anchor distT="0" distB="0" distL="114300" distR="114300" simplePos="0" relativeHeight="251720704" behindDoc="0" locked="0" layoutInCell="1" allowOverlap="1" wp14:anchorId="666D54EA" wp14:editId="0B5F82C8">
                <wp:simplePos x="0" y="0"/>
                <wp:positionH relativeFrom="column">
                  <wp:posOffset>3496310</wp:posOffset>
                </wp:positionH>
                <wp:positionV relativeFrom="paragraph">
                  <wp:posOffset>1121410</wp:posOffset>
                </wp:positionV>
                <wp:extent cx="2370455" cy="672465"/>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7071C" w14:textId="51093CEE" w:rsidR="004B53EA" w:rsidRDefault="004B53EA" w:rsidP="00FB2AD1">
                            <w:pPr>
                              <w:jc w:val="center"/>
                              <w:rPr>
                                <w:rFonts w:ascii="Verdana" w:hAnsi="Verdana"/>
                                <w:b/>
                                <w:sz w:val="20"/>
                                <w:szCs w:val="20"/>
                              </w:rPr>
                            </w:pPr>
                            <w:r>
                              <w:rPr>
                                <w:rFonts w:ascii="Verdana" w:hAnsi="Verdana"/>
                                <w:b/>
                                <w:sz w:val="20"/>
                                <w:szCs w:val="20"/>
                              </w:rPr>
                              <w:t>Three-year audit obligation completions increased by 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275.3pt;margin-top:88.3pt;width:186.65pt;height:52.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5LM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" filled="f" stroked="f">
                <v:textbox>
                  <w:txbxContent>
                    <w:p w14:paraId="5BF7071C" w14:textId="51093CEE" w:rsidR="004B53EA" w:rsidRDefault="004B53EA" w:rsidP="00FB2AD1">
                      <w:pPr>
                        <w:jc w:val="center"/>
                        <w:rPr>
                          <w:rFonts w:ascii="Verdana" w:hAnsi="Verdana"/>
                          <w:b/>
                          <w:sz w:val="20"/>
                          <w:szCs w:val="20"/>
                        </w:rPr>
                      </w:pPr>
                      <w:r>
                        <w:rPr>
                          <w:rFonts w:ascii="Verdana" w:hAnsi="Verdana"/>
                          <w:b/>
                          <w:sz w:val="20"/>
                          <w:szCs w:val="20"/>
                        </w:rPr>
                        <w:t>Three-year audit obligation completions increased by 8%</w:t>
                      </w:r>
                    </w:p>
                  </w:txbxContent>
                </v:textbox>
              </v:shape>
            </w:pict>
          </mc:Fallback>
        </mc:AlternateContent>
      </w:r>
      <w:r w:rsidR="00F23708" w:rsidRPr="00626011">
        <w:rPr>
          <w:rFonts w:ascii="Verdana" w:hAnsi="Verdana"/>
          <w:noProof/>
          <w:sz w:val="22"/>
          <w:szCs w:val="22"/>
        </w:rPr>
        <mc:AlternateContent>
          <mc:Choice Requires="wps">
            <w:drawing>
              <wp:anchor distT="0" distB="0" distL="114300" distR="114300" simplePos="0" relativeHeight="251766784" behindDoc="1" locked="0" layoutInCell="1" allowOverlap="1" wp14:anchorId="6A28EA1A" wp14:editId="1FA662DA">
                <wp:simplePos x="0" y="0"/>
                <wp:positionH relativeFrom="column">
                  <wp:posOffset>4444365</wp:posOffset>
                </wp:positionH>
                <wp:positionV relativeFrom="paragraph">
                  <wp:posOffset>235585</wp:posOffset>
                </wp:positionV>
                <wp:extent cx="457200" cy="640080"/>
                <wp:effectExtent l="19050" t="19050" r="38100" b="26670"/>
                <wp:wrapNone/>
                <wp:docPr id="21" name="Up Arrow 7"/>
                <wp:cNvGraphicFramePr/>
                <a:graphic xmlns:a="http://schemas.openxmlformats.org/drawingml/2006/main">
                  <a:graphicData uri="http://schemas.microsoft.com/office/word/2010/wordprocessingShape">
                    <wps:wsp>
                      <wps:cNvSpPr/>
                      <wps:spPr>
                        <a:xfrm>
                          <a:off x="0" y="0"/>
                          <a:ext cx="457200" cy="640080"/>
                        </a:xfrm>
                        <a:prstGeom prst="upArrow">
                          <a:avLst/>
                        </a:prstGeom>
                        <a:solidFill>
                          <a:srgbClr val="00B050"/>
                        </a:solidFill>
                        <a:ln w="25400" cap="flat" cmpd="sng" algn="ctr">
                          <a:solidFill>
                            <a:srgbClr val="00B050"/>
                          </a:solidFill>
                          <a:prstDash val="solid"/>
                        </a:ln>
                        <a:effectLst/>
                      </wps:spPr>
                      <wps:bodyPr vertOverflow="clip"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C1DF98C" id="Up Arrow 7" o:spid="_x0000_s1026" type="#_x0000_t68" style="position:absolute;margin-left:349.95pt;margin-top:18.55pt;width:36pt;height:50.4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" adj="7714" fillcolor="#00b050" strokecolor="#00b050" strokeweight="2pt"/>
            </w:pict>
          </mc:Fallback>
        </mc:AlternateContent>
      </w:r>
      <w:r w:rsidR="00984FC2" w:rsidRPr="00626011">
        <w:rPr>
          <w:noProof/>
        </w:rPr>
        <w:t xml:space="preserve"> </w:t>
      </w:r>
      <w:r w:rsidR="00006AAB" w:rsidRPr="00626011">
        <w:rPr>
          <w:noProof/>
        </w:rPr>
        <w:t xml:space="preserve"> </w:t>
      </w:r>
      <w:r w:rsidR="00006AAB" w:rsidRPr="00626011">
        <w:rPr>
          <w:noProof/>
        </w:rPr>
        <w:drawing>
          <wp:inline distT="0" distB="0" distL="0" distR="0" wp14:anchorId="3EDDD4B4" wp14:editId="6EEC4203">
            <wp:extent cx="3619500" cy="2228850"/>
            <wp:effectExtent l="0" t="0" r="0" b="0"/>
            <wp:docPr id="673" name="Chart 6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283A9DD" w14:textId="77777777" w:rsidR="00AD6829" w:rsidRDefault="00AD6829" w:rsidP="000610C2">
      <w:pPr>
        <w:spacing w:after="240"/>
        <w:rPr>
          <w:rFonts w:ascii="Verdana" w:hAnsi="Verdana"/>
          <w:b/>
          <w:sz w:val="22"/>
          <w:szCs w:val="22"/>
        </w:rPr>
      </w:pPr>
    </w:p>
    <w:p w14:paraId="7ED381C7" w14:textId="45036C4F" w:rsidR="006709C6" w:rsidRPr="00626011" w:rsidRDefault="005240DC" w:rsidP="00214ABA">
      <w:pPr>
        <w:spacing w:after="240"/>
        <w:rPr>
          <w:rFonts w:ascii="Verdana" w:hAnsi="Verdana" w:cs="Verdana"/>
          <w:color w:val="auto"/>
          <w:sz w:val="22"/>
          <w:szCs w:val="22"/>
        </w:rPr>
      </w:pPr>
      <w:r>
        <w:rPr>
          <w:rFonts w:ascii="Verdana" w:hAnsi="Verdana"/>
          <w:b/>
          <w:sz w:val="22"/>
          <w:szCs w:val="22"/>
        </w:rPr>
        <w:t>Q</w:t>
      </w:r>
      <w:r w:rsidR="006709C6" w:rsidRPr="00626011">
        <w:rPr>
          <w:rFonts w:ascii="Verdana" w:hAnsi="Verdana"/>
          <w:b/>
          <w:sz w:val="22"/>
          <w:szCs w:val="22"/>
        </w:rPr>
        <w:t xml:space="preserve">uarterly updates for corrective action </w:t>
      </w:r>
      <w:r w:rsidR="007C21E1" w:rsidRPr="00626011">
        <w:rPr>
          <w:rFonts w:ascii="Verdana" w:hAnsi="Verdana"/>
          <w:b/>
          <w:sz w:val="22"/>
          <w:szCs w:val="22"/>
        </w:rPr>
        <w:t>plans</w:t>
      </w:r>
      <w:r w:rsidR="0002588C" w:rsidRPr="00626011">
        <w:rPr>
          <w:rFonts w:ascii="Verdana" w:hAnsi="Verdana"/>
          <w:b/>
          <w:sz w:val="22"/>
          <w:szCs w:val="22"/>
        </w:rPr>
        <w:t xml:space="preserve"> </w:t>
      </w:r>
      <w:r>
        <w:rPr>
          <w:rFonts w:ascii="Verdana" w:hAnsi="Verdana"/>
          <w:b/>
          <w:sz w:val="22"/>
          <w:szCs w:val="22"/>
        </w:rPr>
        <w:t xml:space="preserve">have improved from last year. </w:t>
      </w:r>
      <w:r w:rsidR="00B71C25">
        <w:rPr>
          <w:rFonts w:ascii="Verdana" w:hAnsi="Verdana" w:cs="Verdana"/>
          <w:color w:val="auto"/>
          <w:sz w:val="22"/>
          <w:szCs w:val="22"/>
        </w:rPr>
        <w:t>T</w:t>
      </w:r>
      <w:r w:rsidR="0002588C" w:rsidRPr="00626011">
        <w:rPr>
          <w:rFonts w:ascii="Verdana" w:hAnsi="Verdana" w:cs="Verdana"/>
          <w:color w:val="auto"/>
          <w:sz w:val="22"/>
          <w:szCs w:val="22"/>
        </w:rPr>
        <w:t xml:space="preserve">he </w:t>
      </w:r>
      <w:r w:rsidR="00FA3BE4" w:rsidRPr="00626011">
        <w:rPr>
          <w:rFonts w:ascii="Verdana" w:hAnsi="Verdana" w:cs="Verdana"/>
          <w:color w:val="auto"/>
          <w:sz w:val="22"/>
          <w:szCs w:val="22"/>
        </w:rPr>
        <w:t xml:space="preserve">percentage of </w:t>
      </w:r>
      <w:r w:rsidR="0002588C" w:rsidRPr="00626011">
        <w:rPr>
          <w:rFonts w:ascii="Verdana" w:hAnsi="Verdana" w:cs="Verdana"/>
          <w:color w:val="auto"/>
          <w:sz w:val="22"/>
          <w:szCs w:val="22"/>
        </w:rPr>
        <w:t>quarterly updates</w:t>
      </w:r>
      <w:r w:rsidR="00B71C25">
        <w:rPr>
          <w:rFonts w:ascii="Verdana" w:hAnsi="Verdana" w:cs="Verdana"/>
          <w:color w:val="auto"/>
          <w:sz w:val="22"/>
          <w:szCs w:val="22"/>
        </w:rPr>
        <w:t xml:space="preserve">, which includes audit and risk updates, </w:t>
      </w:r>
      <w:r w:rsidR="00BA25AC" w:rsidRPr="00626011">
        <w:rPr>
          <w:rFonts w:ascii="Verdana" w:hAnsi="Verdana" w:cs="Verdana"/>
          <w:color w:val="auto"/>
          <w:sz w:val="22"/>
          <w:szCs w:val="22"/>
        </w:rPr>
        <w:t>received</w:t>
      </w:r>
      <w:r w:rsidR="0002588C" w:rsidRPr="00626011">
        <w:rPr>
          <w:rFonts w:ascii="Verdana" w:hAnsi="Verdana" w:cs="Verdana"/>
          <w:color w:val="auto"/>
          <w:sz w:val="22"/>
          <w:szCs w:val="22"/>
        </w:rPr>
        <w:t xml:space="preserve"> </w:t>
      </w:r>
      <w:r w:rsidR="00AD6829">
        <w:rPr>
          <w:rFonts w:ascii="Verdana" w:hAnsi="Verdana" w:cs="Verdana"/>
          <w:color w:val="auto"/>
          <w:sz w:val="22"/>
          <w:szCs w:val="22"/>
        </w:rPr>
        <w:t>improved 4</w:t>
      </w:r>
      <w:r w:rsidR="006F72F0">
        <w:rPr>
          <w:rFonts w:ascii="Verdana" w:hAnsi="Verdana" w:cs="Verdana"/>
          <w:color w:val="auto"/>
          <w:sz w:val="22"/>
          <w:szCs w:val="22"/>
        </w:rPr>
        <w:t>%</w:t>
      </w:r>
      <w:r w:rsidR="0002588C" w:rsidRPr="00626011">
        <w:rPr>
          <w:rFonts w:ascii="Verdana" w:hAnsi="Verdana" w:cs="Verdana"/>
          <w:color w:val="auto"/>
          <w:sz w:val="22"/>
          <w:szCs w:val="22"/>
        </w:rPr>
        <w:t>from the prior year.</w:t>
      </w:r>
      <w:r w:rsidR="00AD6829">
        <w:rPr>
          <w:rFonts w:ascii="Verdana" w:hAnsi="Verdana" w:cs="Verdana"/>
          <w:color w:val="auto"/>
          <w:sz w:val="22"/>
          <w:szCs w:val="22"/>
        </w:rPr>
        <w:t xml:space="preserve"> VITA ISO services agencies assisted agencies in preparing corrective action plans after agency IT security audits were completed and </w:t>
      </w:r>
      <w:r w:rsidR="00FA3BE4" w:rsidRPr="00626011">
        <w:rPr>
          <w:rFonts w:ascii="Verdana" w:hAnsi="Verdana" w:cs="Verdana"/>
          <w:color w:val="auto"/>
          <w:sz w:val="22"/>
          <w:szCs w:val="22"/>
        </w:rPr>
        <w:t xml:space="preserve">CSRM </w:t>
      </w:r>
      <w:r w:rsidR="00AD6829">
        <w:rPr>
          <w:rFonts w:ascii="Verdana" w:hAnsi="Verdana" w:cs="Verdana"/>
          <w:color w:val="auto"/>
          <w:sz w:val="22"/>
          <w:szCs w:val="22"/>
        </w:rPr>
        <w:t xml:space="preserve">reminded </w:t>
      </w:r>
      <w:r w:rsidR="00FA3BE4" w:rsidRPr="00626011">
        <w:rPr>
          <w:rFonts w:ascii="Verdana" w:hAnsi="Verdana" w:cs="Verdana"/>
          <w:color w:val="auto"/>
          <w:sz w:val="22"/>
          <w:szCs w:val="22"/>
        </w:rPr>
        <w:t>agencies to submit their quart</w:t>
      </w:r>
      <w:r w:rsidR="00E9602C" w:rsidRPr="00626011">
        <w:rPr>
          <w:rFonts w:ascii="Verdana" w:hAnsi="Verdana" w:cs="Verdana"/>
          <w:color w:val="auto"/>
          <w:sz w:val="22"/>
          <w:szCs w:val="22"/>
        </w:rPr>
        <w:t xml:space="preserve">erly updates to confirm that </w:t>
      </w:r>
      <w:r w:rsidR="00BA25AC" w:rsidRPr="00626011">
        <w:rPr>
          <w:rFonts w:ascii="Verdana" w:hAnsi="Verdana" w:cs="Verdana"/>
          <w:color w:val="auto"/>
          <w:sz w:val="22"/>
          <w:szCs w:val="22"/>
        </w:rPr>
        <w:t xml:space="preserve">issues identified during audits </w:t>
      </w:r>
      <w:r w:rsidR="00AD6829">
        <w:rPr>
          <w:rFonts w:ascii="Verdana" w:hAnsi="Verdana" w:cs="Verdana"/>
          <w:color w:val="auto"/>
          <w:sz w:val="22"/>
          <w:szCs w:val="22"/>
        </w:rPr>
        <w:t>were</w:t>
      </w:r>
      <w:r w:rsidR="00BA25AC" w:rsidRPr="00626011">
        <w:rPr>
          <w:rFonts w:ascii="Verdana" w:hAnsi="Verdana" w:cs="Verdana"/>
          <w:color w:val="auto"/>
          <w:sz w:val="22"/>
          <w:szCs w:val="22"/>
        </w:rPr>
        <w:t xml:space="preserve"> addressed</w:t>
      </w:r>
      <w:r w:rsidR="00AD6829">
        <w:rPr>
          <w:rFonts w:ascii="Verdana" w:hAnsi="Verdana" w:cs="Verdana"/>
          <w:color w:val="auto"/>
          <w:sz w:val="22"/>
          <w:szCs w:val="22"/>
        </w:rPr>
        <w:t xml:space="preserve">. CSRM anticipates agencies will continue to make progress in this metric. </w:t>
      </w:r>
    </w:p>
    <w:p w14:paraId="132698DF" w14:textId="5BFDBE52" w:rsidR="0015366A" w:rsidRPr="00626011" w:rsidRDefault="00AF7913" w:rsidP="00214ABA">
      <w:pPr>
        <w:spacing w:after="240"/>
        <w:rPr>
          <w:rFonts w:ascii="Verdana" w:hAnsi="Verdana" w:cs="Verdana"/>
          <w:color w:val="auto"/>
          <w:sz w:val="22"/>
          <w:szCs w:val="22"/>
        </w:rPr>
      </w:pPr>
      <w:r w:rsidRPr="00626011">
        <w:rPr>
          <w:rFonts w:ascii="Verdana" w:hAnsi="Verdana"/>
          <w:noProof/>
          <w:sz w:val="22"/>
          <w:szCs w:val="22"/>
        </w:rPr>
        <mc:AlternateContent>
          <mc:Choice Requires="wps">
            <w:drawing>
              <wp:anchor distT="0" distB="0" distL="114300" distR="114300" simplePos="0" relativeHeight="251688960" behindDoc="1" locked="0" layoutInCell="1" allowOverlap="1" wp14:anchorId="6D85F529" wp14:editId="0649169F">
                <wp:simplePos x="0" y="0"/>
                <wp:positionH relativeFrom="column">
                  <wp:posOffset>4944745</wp:posOffset>
                </wp:positionH>
                <wp:positionV relativeFrom="paragraph">
                  <wp:posOffset>646430</wp:posOffset>
                </wp:positionV>
                <wp:extent cx="457200" cy="640080"/>
                <wp:effectExtent l="19050" t="19050" r="38100" b="26670"/>
                <wp:wrapNone/>
                <wp:docPr id="32" name="Up Arrow 7"/>
                <wp:cNvGraphicFramePr/>
                <a:graphic xmlns:a="http://schemas.openxmlformats.org/drawingml/2006/main">
                  <a:graphicData uri="http://schemas.microsoft.com/office/word/2010/wordprocessingShape">
                    <wps:wsp>
                      <wps:cNvSpPr/>
                      <wps:spPr>
                        <a:xfrm>
                          <a:off x="0" y="0"/>
                          <a:ext cx="457200" cy="640080"/>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0E3744" id="Up Arrow 7" o:spid="_x0000_s1026" type="#_x0000_t68" style="position:absolute;margin-left:389.35pt;margin-top:50.9pt;width:36pt;height:50.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" adj="7714" fillcolor="#00b050" strokecolor="#00b050" strokeweight="2pt"/>
            </w:pict>
          </mc:Fallback>
        </mc:AlternateContent>
      </w:r>
      <w:r w:rsidRPr="00626011">
        <w:rPr>
          <w:rFonts w:ascii="Verdana" w:hAnsi="Verdana"/>
          <w:noProof/>
          <w:sz w:val="22"/>
          <w:szCs w:val="22"/>
        </w:rPr>
        <mc:AlternateContent>
          <mc:Choice Requires="wps">
            <w:drawing>
              <wp:anchor distT="0" distB="0" distL="114300" distR="114300" simplePos="0" relativeHeight="251684864" behindDoc="1" locked="0" layoutInCell="1" allowOverlap="1" wp14:anchorId="750D7BCB" wp14:editId="307B2D3A">
                <wp:simplePos x="0" y="0"/>
                <wp:positionH relativeFrom="column">
                  <wp:posOffset>3922395</wp:posOffset>
                </wp:positionH>
                <wp:positionV relativeFrom="paragraph">
                  <wp:posOffset>1461770</wp:posOffset>
                </wp:positionV>
                <wp:extent cx="2739390" cy="400050"/>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FA245" w14:textId="2F5EF3A8" w:rsidR="004B53EA" w:rsidRDefault="004B53EA" w:rsidP="00507B62">
                            <w:pPr>
                              <w:jc w:val="center"/>
                              <w:rPr>
                                <w:rFonts w:ascii="Verdana" w:hAnsi="Verdana"/>
                                <w:b/>
                                <w:sz w:val="20"/>
                                <w:szCs w:val="20"/>
                              </w:rPr>
                            </w:pPr>
                            <w:r>
                              <w:rPr>
                                <w:rFonts w:ascii="Verdana" w:hAnsi="Verdana"/>
                                <w:b/>
                                <w:sz w:val="20"/>
                                <w:szCs w:val="20"/>
                              </w:rPr>
                              <w:t>Quarterly updates received increased by 4%</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 o:spid="_x0000_s1032" type="#_x0000_t202" style="position:absolute;margin-left:308.85pt;margin-top:115.1pt;width:215.7pt;height:31.5pt;z-index:-2516316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" filled="f" stroked="f">
                <v:textbox style="mso-fit-shape-to-text:t">
                  <w:txbxContent>
                    <w:p w14:paraId="5B7FA245" w14:textId="2F5EF3A8" w:rsidR="004B53EA" w:rsidRDefault="004B53EA" w:rsidP="00507B62">
                      <w:pPr>
                        <w:jc w:val="center"/>
                        <w:rPr>
                          <w:rFonts w:ascii="Verdana" w:hAnsi="Verdana"/>
                          <w:b/>
                          <w:sz w:val="20"/>
                          <w:szCs w:val="20"/>
                        </w:rPr>
                      </w:pPr>
                      <w:r>
                        <w:rPr>
                          <w:rFonts w:ascii="Verdana" w:hAnsi="Verdana"/>
                          <w:b/>
                          <w:sz w:val="20"/>
                          <w:szCs w:val="20"/>
                        </w:rPr>
                        <w:t>Quarterly updates received increased by 4%</w:t>
                      </w:r>
                    </w:p>
                  </w:txbxContent>
                </v:textbox>
              </v:shape>
            </w:pict>
          </mc:Fallback>
        </mc:AlternateContent>
      </w:r>
      <w:r w:rsidR="007F2DCD" w:rsidRPr="00626011">
        <w:rPr>
          <w:noProof/>
        </w:rPr>
        <w:t xml:space="preserve"> </w:t>
      </w:r>
      <w:r>
        <w:rPr>
          <w:noProof/>
        </w:rPr>
        <w:drawing>
          <wp:inline distT="0" distB="0" distL="0" distR="0" wp14:anchorId="246EB9E9" wp14:editId="3328ED8D">
            <wp:extent cx="3971925" cy="2505075"/>
            <wp:effectExtent l="0" t="0" r="0" b="0"/>
            <wp:docPr id="674" name="Chart 6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2780F7B" w14:textId="77777777" w:rsidR="00915873" w:rsidRPr="003B60CC" w:rsidRDefault="00915873" w:rsidP="00915873">
      <w:pPr>
        <w:pStyle w:val="Heading2"/>
        <w:spacing w:before="120" w:after="120"/>
        <w:rPr>
          <w:sz w:val="22"/>
          <w:szCs w:val="22"/>
        </w:rPr>
      </w:pPr>
      <w:bookmarkStart w:id="19" w:name="_Toc14262282"/>
      <w:r w:rsidRPr="003B60CC">
        <w:rPr>
          <w:sz w:val="22"/>
          <w:szCs w:val="22"/>
        </w:rPr>
        <w:t>Commonwealth Information Security Officers Advisory Group</w:t>
      </w:r>
      <w:bookmarkEnd w:id="19"/>
    </w:p>
    <w:p w14:paraId="3778769F" w14:textId="77777777" w:rsidR="00915B29" w:rsidRDefault="00915873" w:rsidP="00915873">
      <w:pPr>
        <w:spacing w:before="120" w:after="120"/>
        <w:rPr>
          <w:rFonts w:ascii="Verdana" w:hAnsi="Verdana"/>
          <w:color w:val="auto"/>
          <w:sz w:val="22"/>
          <w:szCs w:val="22"/>
        </w:rPr>
      </w:pPr>
      <w:r w:rsidRPr="003B60CC">
        <w:rPr>
          <w:rFonts w:ascii="Verdana" w:hAnsi="Verdana"/>
          <w:color w:val="auto"/>
          <w:sz w:val="22"/>
          <w:szCs w:val="22"/>
        </w:rPr>
        <w:t xml:space="preserve">The Information Security Officers Advisory Group (ISOAG) is a dynamic group of information security professionals, open to all state and local government personnel. The group’s goal is to exchange IT security knowledge to improve the security posture of the commonwealth. In </w:t>
      </w:r>
      <w:r w:rsidR="00603A5B" w:rsidRPr="003B60CC">
        <w:rPr>
          <w:rFonts w:ascii="Verdana" w:hAnsi="Verdana"/>
          <w:color w:val="auto"/>
          <w:sz w:val="22"/>
          <w:szCs w:val="22"/>
        </w:rPr>
        <w:t>2018</w:t>
      </w:r>
      <w:r w:rsidRPr="003B60CC">
        <w:rPr>
          <w:rFonts w:ascii="Verdana" w:hAnsi="Verdana"/>
          <w:color w:val="auto"/>
          <w:sz w:val="22"/>
          <w:szCs w:val="22"/>
        </w:rPr>
        <w:t xml:space="preserve">, CSRM provided knowledgeable speakers from government and private sector organizations to share their information security expertise with the group at no cost to attendees. </w:t>
      </w:r>
    </w:p>
    <w:p w14:paraId="12F6ADBD" w14:textId="09BDCF05" w:rsidR="00915873" w:rsidRPr="003B60CC" w:rsidRDefault="00915873" w:rsidP="00915873">
      <w:pPr>
        <w:spacing w:before="120" w:after="120"/>
        <w:rPr>
          <w:rFonts w:ascii="Verdana" w:hAnsi="Verdana"/>
          <w:bCs/>
          <w:color w:val="008000"/>
          <w:kern w:val="32"/>
          <w:sz w:val="22"/>
          <w:szCs w:val="22"/>
        </w:rPr>
      </w:pPr>
      <w:r w:rsidRPr="003B60CC">
        <w:rPr>
          <w:rFonts w:ascii="Verdana" w:hAnsi="Verdana"/>
          <w:color w:val="auto"/>
          <w:sz w:val="22"/>
          <w:szCs w:val="22"/>
        </w:rPr>
        <w:t>In addition, the members are able to earn continuing professional education credits (CPE), a requirement necessary for security professionals to maintain their security certifications and memberships in global security organizations, share best practices, provide feedback on proposed policy changes and are notified of local training opportunities</w:t>
      </w:r>
      <w:r w:rsidR="00915B29">
        <w:rPr>
          <w:rFonts w:ascii="Verdana" w:hAnsi="Verdana"/>
          <w:color w:val="auto"/>
          <w:sz w:val="22"/>
          <w:szCs w:val="22"/>
        </w:rPr>
        <w:t xml:space="preserve">. </w:t>
      </w:r>
      <w:r w:rsidRPr="003B60CC">
        <w:rPr>
          <w:rFonts w:ascii="Verdana" w:hAnsi="Verdana"/>
          <w:color w:val="auto"/>
          <w:sz w:val="22"/>
          <w:szCs w:val="22"/>
        </w:rPr>
        <w:t xml:space="preserve">Members can attend the meetings in person or via webinar. Meeting presentation materials are posted to </w:t>
      </w:r>
      <w:r w:rsidR="005B75E6" w:rsidRPr="003B60CC">
        <w:rPr>
          <w:rFonts w:ascii="Verdana" w:hAnsi="Verdana"/>
          <w:color w:val="auto"/>
          <w:sz w:val="22"/>
          <w:szCs w:val="22"/>
        </w:rPr>
        <w:t xml:space="preserve">the </w:t>
      </w:r>
      <w:r w:rsidRPr="003B60CC">
        <w:rPr>
          <w:rFonts w:ascii="Verdana" w:hAnsi="Verdana"/>
          <w:color w:val="auto"/>
          <w:sz w:val="22"/>
          <w:szCs w:val="22"/>
        </w:rPr>
        <w:t xml:space="preserve">VITA website as an additional resource to the group.  </w:t>
      </w:r>
    </w:p>
    <w:p w14:paraId="1C73ED26" w14:textId="4DD2EAC3" w:rsidR="007E7E5E" w:rsidRPr="003B60CC" w:rsidRDefault="007E7E5E" w:rsidP="00394623">
      <w:pPr>
        <w:pStyle w:val="Heading2"/>
        <w:spacing w:before="100" w:beforeAutospacing="1" w:after="100" w:afterAutospacing="1"/>
        <w:rPr>
          <w:sz w:val="22"/>
          <w:szCs w:val="22"/>
        </w:rPr>
      </w:pPr>
      <w:bookmarkStart w:id="20" w:name="_Toc14262283"/>
      <w:r w:rsidRPr="003B60CC">
        <w:rPr>
          <w:sz w:val="22"/>
          <w:szCs w:val="22"/>
        </w:rPr>
        <w:t xml:space="preserve">Cybersecurity </w:t>
      </w:r>
      <w:r w:rsidR="003B0C99" w:rsidRPr="003B60CC">
        <w:rPr>
          <w:sz w:val="22"/>
          <w:szCs w:val="22"/>
        </w:rPr>
        <w:t>s</w:t>
      </w:r>
      <w:r w:rsidRPr="003B60CC">
        <w:rPr>
          <w:sz w:val="22"/>
          <w:szCs w:val="22"/>
        </w:rPr>
        <w:t xml:space="preserve">trategy </w:t>
      </w:r>
      <w:r w:rsidR="003B0C99" w:rsidRPr="003B60CC">
        <w:rPr>
          <w:sz w:val="22"/>
          <w:szCs w:val="22"/>
        </w:rPr>
        <w:t>d</w:t>
      </w:r>
      <w:r w:rsidRPr="003B60CC">
        <w:rPr>
          <w:sz w:val="22"/>
          <w:szCs w:val="22"/>
        </w:rPr>
        <w:t xml:space="preserve">evelopment and </w:t>
      </w:r>
      <w:r w:rsidR="003B0C99" w:rsidRPr="003B60CC">
        <w:rPr>
          <w:sz w:val="22"/>
          <w:szCs w:val="22"/>
        </w:rPr>
        <w:t>m</w:t>
      </w:r>
      <w:r w:rsidRPr="003B60CC">
        <w:rPr>
          <w:sz w:val="22"/>
          <w:szCs w:val="22"/>
        </w:rPr>
        <w:t>onitoring</w:t>
      </w:r>
      <w:bookmarkEnd w:id="20"/>
      <w:r w:rsidRPr="003B60CC">
        <w:rPr>
          <w:sz w:val="22"/>
          <w:szCs w:val="22"/>
        </w:rPr>
        <w:t xml:space="preserve"> </w:t>
      </w:r>
    </w:p>
    <w:p w14:paraId="1F2AEF0B" w14:textId="42ABBE54" w:rsidR="007E7E5E" w:rsidRPr="003B60CC" w:rsidRDefault="007E7E5E" w:rsidP="00BD3331">
      <w:pPr>
        <w:spacing w:before="100" w:beforeAutospacing="1" w:after="100" w:afterAutospacing="1"/>
        <w:ind w:right="720"/>
        <w:rPr>
          <w:rFonts w:ascii="Verdana" w:hAnsi="Verdana"/>
          <w:sz w:val="22"/>
          <w:szCs w:val="22"/>
        </w:rPr>
      </w:pPr>
      <w:r w:rsidRPr="003B60CC">
        <w:rPr>
          <w:rFonts w:ascii="Verdana" w:hAnsi="Verdana"/>
          <w:sz w:val="22"/>
          <w:szCs w:val="22"/>
        </w:rPr>
        <w:t xml:space="preserve">CSRM </w:t>
      </w:r>
      <w:r w:rsidR="00826DDF" w:rsidRPr="003B60CC">
        <w:rPr>
          <w:rFonts w:ascii="Verdana" w:hAnsi="Verdana"/>
          <w:sz w:val="22"/>
          <w:szCs w:val="22"/>
        </w:rPr>
        <w:t xml:space="preserve">has established a </w:t>
      </w:r>
      <w:r w:rsidRPr="003B60CC">
        <w:rPr>
          <w:rFonts w:ascii="Verdana" w:hAnsi="Verdana"/>
          <w:sz w:val="22"/>
          <w:szCs w:val="22"/>
        </w:rPr>
        <w:t>cybersecurity strategy to address the security needs for the commonwealth.</w:t>
      </w:r>
      <w:r w:rsidR="00826DDF" w:rsidRPr="003B60CC">
        <w:rPr>
          <w:rFonts w:ascii="Verdana" w:hAnsi="Verdana"/>
          <w:sz w:val="22"/>
          <w:szCs w:val="22"/>
        </w:rPr>
        <w:t xml:space="preserve"> </w:t>
      </w:r>
      <w:r w:rsidR="00BD3331" w:rsidRPr="003B60CC">
        <w:rPr>
          <w:rFonts w:ascii="Verdana" w:hAnsi="Verdana"/>
          <w:sz w:val="22"/>
          <w:szCs w:val="22"/>
        </w:rPr>
        <w:t xml:space="preserve">While the objectives of the strategy have not changed, the tactics to implement the strategy will change to adjust to the multisupplier environment.  </w:t>
      </w:r>
    </w:p>
    <w:p w14:paraId="01B804EE" w14:textId="51B16246" w:rsidR="00E80F1C" w:rsidRPr="003B60CC" w:rsidRDefault="00E80F1C" w:rsidP="007E7E5E">
      <w:pPr>
        <w:spacing w:before="120" w:after="120"/>
        <w:rPr>
          <w:rFonts w:ascii="Verdana" w:hAnsi="Verdana" w:cs="Times New Roman"/>
          <w:color w:val="auto"/>
          <w:sz w:val="22"/>
          <w:szCs w:val="22"/>
        </w:rPr>
      </w:pPr>
      <w:r w:rsidRPr="003B60CC">
        <w:rPr>
          <w:rFonts w:ascii="Verdana" w:hAnsi="Verdana" w:cs="Times New Roman"/>
          <w:color w:val="auto"/>
          <w:sz w:val="22"/>
          <w:szCs w:val="22"/>
        </w:rPr>
        <w:t>As a part of the cybersecurity strategy, CSRM will continue to be an integral part of the IT strategic planning process to ensure security needs are addressed when considering investing in new technologies.</w:t>
      </w:r>
    </w:p>
    <w:p w14:paraId="4D2146C5" w14:textId="22F80089" w:rsidR="007E7E5E" w:rsidRPr="003B60CC" w:rsidRDefault="00E80F1C" w:rsidP="007E7E5E">
      <w:pPr>
        <w:spacing w:before="120" w:after="120"/>
        <w:rPr>
          <w:rFonts w:ascii="Verdana" w:hAnsi="Verdana" w:cs="Times New Roman"/>
          <w:color w:val="auto"/>
          <w:sz w:val="22"/>
          <w:szCs w:val="22"/>
        </w:rPr>
      </w:pPr>
      <w:r w:rsidRPr="003B60CC">
        <w:rPr>
          <w:rFonts w:ascii="Verdana" w:hAnsi="Verdana" w:cs="Times New Roman"/>
          <w:color w:val="auto"/>
          <w:sz w:val="22"/>
          <w:szCs w:val="22"/>
        </w:rPr>
        <w:t xml:space="preserve">Governance also plays a role in cybersecurity strategy. </w:t>
      </w:r>
      <w:r w:rsidR="007E7E5E" w:rsidRPr="003B60CC">
        <w:rPr>
          <w:rFonts w:ascii="Verdana" w:hAnsi="Verdana" w:cs="Times New Roman"/>
          <w:color w:val="auto"/>
          <w:sz w:val="22"/>
          <w:szCs w:val="22"/>
        </w:rPr>
        <w:t xml:space="preserve">The </w:t>
      </w:r>
      <w:r w:rsidR="001B5998" w:rsidRPr="003B60CC">
        <w:rPr>
          <w:rFonts w:ascii="Verdana" w:hAnsi="Verdana" w:cs="Times New Roman"/>
          <w:color w:val="auto"/>
          <w:sz w:val="22"/>
          <w:szCs w:val="22"/>
        </w:rPr>
        <w:t xml:space="preserve">commonwealth’s </w:t>
      </w:r>
      <w:r w:rsidR="007E7E5E" w:rsidRPr="003B60CC">
        <w:rPr>
          <w:rFonts w:ascii="Verdana" w:hAnsi="Verdana" w:cs="Times New Roman"/>
          <w:color w:val="auto"/>
          <w:sz w:val="22"/>
          <w:szCs w:val="22"/>
        </w:rPr>
        <w:t xml:space="preserve">IT security governance program is formally documented in one policy and five standards designed to assist agencies in building and documenting their individual security programs. The policy sets the </w:t>
      </w:r>
      <w:r w:rsidR="001B5998" w:rsidRPr="003B60CC">
        <w:rPr>
          <w:rFonts w:ascii="Verdana" w:hAnsi="Verdana" w:cs="Times New Roman"/>
          <w:color w:val="auto"/>
          <w:sz w:val="22"/>
          <w:szCs w:val="22"/>
        </w:rPr>
        <w:t xml:space="preserve">commonwealth’s </w:t>
      </w:r>
      <w:r w:rsidR="007E7E5E" w:rsidRPr="003B60CC">
        <w:rPr>
          <w:rFonts w:ascii="Verdana" w:hAnsi="Verdana" w:cs="Times New Roman"/>
          <w:color w:val="auto"/>
          <w:sz w:val="22"/>
          <w:szCs w:val="22"/>
        </w:rPr>
        <w:t xml:space="preserve">overall direction and establishes a framework that agency heads must follow in implementing IT security programs. In addition, templates are also available to help agencies develop their own policies. </w:t>
      </w:r>
    </w:p>
    <w:p w14:paraId="2087FC81" w14:textId="4E0EC81F" w:rsidR="00E80F1C" w:rsidRPr="003B60CC" w:rsidRDefault="007E7E5E" w:rsidP="00E80F1C">
      <w:pPr>
        <w:spacing w:after="200"/>
        <w:rPr>
          <w:rFonts w:ascii="Verdana" w:eastAsiaTheme="minorHAnsi" w:hAnsi="Verdana"/>
          <w:iCs/>
          <w:sz w:val="22"/>
          <w:szCs w:val="22"/>
        </w:rPr>
      </w:pPr>
      <w:r w:rsidRPr="003B60CC">
        <w:rPr>
          <w:rFonts w:ascii="Verdana" w:hAnsi="Verdana" w:cs="Times New Roman"/>
          <w:color w:val="auto"/>
          <w:sz w:val="22"/>
          <w:szCs w:val="22"/>
        </w:rPr>
        <w:t xml:space="preserve">In </w:t>
      </w:r>
      <w:r w:rsidR="00603A5B" w:rsidRPr="003B60CC">
        <w:rPr>
          <w:rFonts w:ascii="Verdana" w:hAnsi="Verdana" w:cs="Times New Roman"/>
          <w:color w:val="auto"/>
          <w:sz w:val="22"/>
          <w:szCs w:val="22"/>
        </w:rPr>
        <w:t>2018</w:t>
      </w:r>
      <w:r w:rsidRPr="003B60CC">
        <w:rPr>
          <w:rFonts w:ascii="Verdana" w:hAnsi="Verdana" w:cs="Times New Roman"/>
          <w:color w:val="auto"/>
          <w:sz w:val="22"/>
          <w:szCs w:val="22"/>
        </w:rPr>
        <w:t xml:space="preserve">, CSRM </w:t>
      </w:r>
      <w:r w:rsidR="00646C32" w:rsidRPr="003B60CC">
        <w:rPr>
          <w:rFonts w:ascii="Verdana" w:hAnsi="Verdana" w:cs="Times New Roman"/>
          <w:color w:val="auto"/>
          <w:sz w:val="22"/>
          <w:szCs w:val="22"/>
        </w:rPr>
        <w:t>update</w:t>
      </w:r>
      <w:r w:rsidR="00646C32">
        <w:rPr>
          <w:rFonts w:ascii="Verdana" w:hAnsi="Verdana" w:cs="Times New Roman"/>
          <w:color w:val="auto"/>
          <w:sz w:val="22"/>
          <w:szCs w:val="22"/>
        </w:rPr>
        <w:t>d</w:t>
      </w:r>
      <w:r w:rsidR="00646C32" w:rsidRPr="003B60CC">
        <w:rPr>
          <w:rFonts w:ascii="Verdana" w:hAnsi="Verdana" w:cs="Times New Roman"/>
          <w:color w:val="auto"/>
          <w:sz w:val="22"/>
          <w:szCs w:val="22"/>
        </w:rPr>
        <w:t xml:space="preserve"> </w:t>
      </w:r>
      <w:r w:rsidR="00E80F1C" w:rsidRPr="003B60CC">
        <w:rPr>
          <w:rFonts w:ascii="Verdana" w:hAnsi="Verdana" w:cs="Times New Roman"/>
          <w:color w:val="auto"/>
          <w:sz w:val="22"/>
          <w:szCs w:val="22"/>
        </w:rPr>
        <w:t>SEC-501</w:t>
      </w:r>
      <w:r w:rsidR="003B0C99" w:rsidRPr="003B60CC">
        <w:rPr>
          <w:rFonts w:ascii="Verdana" w:hAnsi="Verdana" w:cs="Times New Roman"/>
          <w:color w:val="auto"/>
          <w:sz w:val="22"/>
          <w:szCs w:val="22"/>
        </w:rPr>
        <w:t xml:space="preserve"> </w:t>
      </w:r>
      <w:r w:rsidR="00E80F1C" w:rsidRPr="003B60CC">
        <w:rPr>
          <w:rFonts w:ascii="Verdana" w:hAnsi="Verdana" w:cs="Times New Roman"/>
          <w:color w:val="auto"/>
          <w:sz w:val="22"/>
          <w:szCs w:val="22"/>
        </w:rPr>
        <w:t>”IT Information Security Standard” and SEC-525 “Hosted Environment Security Standard</w:t>
      </w:r>
      <w:r w:rsidR="00646C32">
        <w:rPr>
          <w:rFonts w:ascii="Verdana" w:hAnsi="Verdana" w:cs="Times New Roman"/>
          <w:color w:val="auto"/>
          <w:sz w:val="22"/>
          <w:szCs w:val="22"/>
        </w:rPr>
        <w:t>.</w:t>
      </w:r>
      <w:r w:rsidR="00E80F1C" w:rsidRPr="003B60CC">
        <w:rPr>
          <w:rFonts w:ascii="Verdana" w:hAnsi="Verdana" w:cs="Times New Roman"/>
          <w:color w:val="auto"/>
          <w:sz w:val="22"/>
          <w:szCs w:val="22"/>
        </w:rPr>
        <w:t xml:space="preserve">” Changes were related to penetration testing, data center minimum requirements and refining the existing guidance. A more extensive update will be done in the upcoming year.  </w:t>
      </w:r>
    </w:p>
    <w:p w14:paraId="70832646" w14:textId="77777777" w:rsidR="007E7E5E" w:rsidRPr="003B60CC" w:rsidRDefault="007E7E5E" w:rsidP="007E7E5E">
      <w:pPr>
        <w:pStyle w:val="Heading2"/>
        <w:spacing w:before="120" w:after="120"/>
        <w:rPr>
          <w:sz w:val="22"/>
          <w:szCs w:val="22"/>
        </w:rPr>
      </w:pPr>
      <w:bookmarkStart w:id="21" w:name="_Toc14262284"/>
      <w:r w:rsidRPr="003B60CC">
        <w:rPr>
          <w:sz w:val="22"/>
          <w:szCs w:val="22"/>
        </w:rPr>
        <w:t>Commonwealth Information Security</w:t>
      </w:r>
      <w:r w:rsidR="003660B7" w:rsidRPr="003B60CC">
        <w:rPr>
          <w:sz w:val="22"/>
          <w:szCs w:val="22"/>
        </w:rPr>
        <w:t xml:space="preserve"> (IS)</w:t>
      </w:r>
      <w:r w:rsidRPr="003B60CC">
        <w:rPr>
          <w:sz w:val="22"/>
          <w:szCs w:val="22"/>
        </w:rPr>
        <w:t xml:space="preserve"> Council</w:t>
      </w:r>
      <w:bookmarkEnd w:id="21"/>
    </w:p>
    <w:p w14:paraId="72604257" w14:textId="600BDEFA" w:rsidR="008E1E1C" w:rsidRPr="003B60CC" w:rsidRDefault="007E7E5E">
      <w:pPr>
        <w:rPr>
          <w:rFonts w:ascii="Verdana" w:hAnsi="Verdana" w:cs="Times New Roman"/>
          <w:color w:val="auto"/>
          <w:sz w:val="22"/>
          <w:szCs w:val="22"/>
        </w:rPr>
      </w:pPr>
      <w:r w:rsidRPr="003B60CC">
        <w:rPr>
          <w:rFonts w:ascii="Verdana" w:hAnsi="Verdana" w:cs="Times New Roman"/>
          <w:color w:val="auto"/>
          <w:sz w:val="22"/>
          <w:szCs w:val="22"/>
        </w:rPr>
        <w:t xml:space="preserve">The Commonwealth IS Council </w:t>
      </w:r>
      <w:r w:rsidR="003660B7" w:rsidRPr="003B60CC">
        <w:rPr>
          <w:rFonts w:ascii="Verdana" w:hAnsi="Verdana" w:cs="Times New Roman"/>
          <w:color w:val="auto"/>
          <w:sz w:val="22"/>
          <w:szCs w:val="22"/>
        </w:rPr>
        <w:t xml:space="preserve">is comprised </w:t>
      </w:r>
      <w:r w:rsidRPr="003B60CC">
        <w:rPr>
          <w:rFonts w:ascii="Verdana" w:hAnsi="Verdana" w:cs="Times New Roman"/>
          <w:color w:val="auto"/>
          <w:sz w:val="22"/>
          <w:szCs w:val="22"/>
        </w:rPr>
        <w:t xml:space="preserve">of members from </w:t>
      </w:r>
      <w:r w:rsidR="003660B7" w:rsidRPr="003B60CC">
        <w:rPr>
          <w:rFonts w:ascii="Verdana" w:hAnsi="Verdana" w:cs="Times New Roman"/>
          <w:color w:val="auto"/>
          <w:sz w:val="22"/>
          <w:szCs w:val="22"/>
        </w:rPr>
        <w:t xml:space="preserve">various </w:t>
      </w:r>
      <w:r w:rsidR="00826DDF" w:rsidRPr="003B60CC">
        <w:rPr>
          <w:rFonts w:ascii="Verdana" w:hAnsi="Verdana" w:cs="Times New Roman"/>
          <w:color w:val="auto"/>
          <w:sz w:val="22"/>
          <w:szCs w:val="22"/>
        </w:rPr>
        <w:t xml:space="preserve">state agencies who </w:t>
      </w:r>
      <w:r w:rsidRPr="003B60CC">
        <w:rPr>
          <w:rFonts w:ascii="Verdana" w:hAnsi="Verdana" w:cs="Times New Roman"/>
          <w:color w:val="auto"/>
          <w:sz w:val="22"/>
          <w:szCs w:val="22"/>
        </w:rPr>
        <w:t xml:space="preserve">provide input </w:t>
      </w:r>
      <w:r w:rsidR="0027563A" w:rsidRPr="003B60CC">
        <w:rPr>
          <w:rFonts w:ascii="Verdana" w:hAnsi="Verdana" w:cs="Times New Roman"/>
          <w:color w:val="auto"/>
          <w:sz w:val="22"/>
          <w:szCs w:val="22"/>
        </w:rPr>
        <w:t xml:space="preserve">for </w:t>
      </w:r>
      <w:r w:rsidRPr="003B60CC">
        <w:rPr>
          <w:rFonts w:ascii="Verdana" w:hAnsi="Verdana" w:cs="Times New Roman"/>
          <w:color w:val="auto"/>
          <w:sz w:val="22"/>
          <w:szCs w:val="22"/>
        </w:rPr>
        <w:t xml:space="preserve">the direction of the </w:t>
      </w:r>
      <w:r w:rsidR="00E24757" w:rsidRPr="003B60CC">
        <w:rPr>
          <w:rFonts w:ascii="Verdana" w:hAnsi="Verdana" w:cs="Times New Roman"/>
          <w:color w:val="auto"/>
          <w:sz w:val="22"/>
          <w:szCs w:val="22"/>
        </w:rPr>
        <w:t>commonwealth</w:t>
      </w:r>
      <w:r w:rsidRPr="003B60CC">
        <w:rPr>
          <w:rFonts w:ascii="Verdana" w:hAnsi="Verdana" w:cs="Times New Roman"/>
          <w:color w:val="auto"/>
          <w:sz w:val="22"/>
          <w:szCs w:val="22"/>
        </w:rPr>
        <w:t xml:space="preserve">-wide information security program and raise </w:t>
      </w:r>
      <w:r w:rsidR="0027563A" w:rsidRPr="003B60CC">
        <w:rPr>
          <w:rFonts w:ascii="Verdana" w:hAnsi="Verdana" w:cs="Times New Roman"/>
          <w:color w:val="auto"/>
          <w:sz w:val="22"/>
          <w:szCs w:val="22"/>
        </w:rPr>
        <w:t xml:space="preserve">information security </w:t>
      </w:r>
      <w:r w:rsidRPr="003B60CC">
        <w:rPr>
          <w:rFonts w:ascii="Verdana" w:hAnsi="Verdana" w:cs="Times New Roman"/>
          <w:color w:val="auto"/>
          <w:sz w:val="22"/>
          <w:szCs w:val="22"/>
        </w:rPr>
        <w:t xml:space="preserve">awareness within the </w:t>
      </w:r>
      <w:r w:rsidR="00E24757" w:rsidRPr="003B60CC">
        <w:rPr>
          <w:rFonts w:ascii="Verdana" w:hAnsi="Verdana" w:cs="Times New Roman"/>
          <w:color w:val="auto"/>
          <w:sz w:val="22"/>
          <w:szCs w:val="22"/>
        </w:rPr>
        <w:t>commonwealth</w:t>
      </w:r>
      <w:r w:rsidRPr="003B60CC">
        <w:rPr>
          <w:rFonts w:ascii="Verdana" w:hAnsi="Verdana" w:cs="Times New Roman"/>
          <w:color w:val="auto"/>
          <w:sz w:val="22"/>
          <w:szCs w:val="22"/>
        </w:rPr>
        <w:t xml:space="preserve">. </w:t>
      </w:r>
      <w:r w:rsidR="00826DDF" w:rsidRPr="003B60CC">
        <w:rPr>
          <w:rFonts w:ascii="Verdana" w:hAnsi="Verdana" w:cs="Times New Roman"/>
          <w:color w:val="auto"/>
          <w:sz w:val="22"/>
          <w:szCs w:val="22"/>
        </w:rPr>
        <w:t xml:space="preserve">In </w:t>
      </w:r>
      <w:r w:rsidR="00603A5B" w:rsidRPr="003B60CC">
        <w:rPr>
          <w:rFonts w:ascii="Verdana" w:hAnsi="Verdana" w:cs="Times New Roman"/>
          <w:color w:val="auto"/>
          <w:sz w:val="22"/>
          <w:szCs w:val="22"/>
        </w:rPr>
        <w:t>2018</w:t>
      </w:r>
      <w:r w:rsidR="00826DDF" w:rsidRPr="003B60CC">
        <w:rPr>
          <w:rFonts w:ascii="Verdana" w:hAnsi="Verdana" w:cs="Times New Roman"/>
          <w:color w:val="auto"/>
          <w:sz w:val="22"/>
          <w:szCs w:val="22"/>
        </w:rPr>
        <w:t xml:space="preserve">, the council </w:t>
      </w:r>
      <w:r w:rsidR="00AB0DF7">
        <w:rPr>
          <w:rFonts w:ascii="Verdana" w:hAnsi="Verdana" w:cs="Times New Roman"/>
          <w:color w:val="auto"/>
          <w:sz w:val="22"/>
          <w:szCs w:val="22"/>
        </w:rPr>
        <w:t xml:space="preserve">was </w:t>
      </w:r>
      <w:r w:rsidR="007A1023" w:rsidRPr="003B60CC">
        <w:rPr>
          <w:rFonts w:ascii="Verdana" w:hAnsi="Verdana" w:cs="Times New Roman"/>
          <w:color w:val="auto"/>
          <w:sz w:val="22"/>
          <w:szCs w:val="22"/>
        </w:rPr>
        <w:t xml:space="preserve">temporarily </w:t>
      </w:r>
      <w:r w:rsidR="00AB0DF7">
        <w:rPr>
          <w:rFonts w:ascii="Verdana" w:hAnsi="Verdana" w:cs="Times New Roman"/>
          <w:color w:val="auto"/>
          <w:sz w:val="22"/>
          <w:szCs w:val="22"/>
        </w:rPr>
        <w:t xml:space="preserve">used as </w:t>
      </w:r>
      <w:r w:rsidR="007A1023" w:rsidRPr="003B60CC">
        <w:rPr>
          <w:rFonts w:ascii="Verdana" w:hAnsi="Verdana" w:cs="Times New Roman"/>
          <w:color w:val="auto"/>
          <w:sz w:val="22"/>
          <w:szCs w:val="22"/>
        </w:rPr>
        <w:t xml:space="preserve">a risk advisory committee primarily focused on </w:t>
      </w:r>
      <w:r w:rsidR="007A1023">
        <w:rPr>
          <w:rFonts w:ascii="Verdana" w:hAnsi="Verdana" w:cs="Times New Roman"/>
          <w:color w:val="auto"/>
          <w:sz w:val="22"/>
          <w:szCs w:val="22"/>
        </w:rPr>
        <w:t xml:space="preserve">identifying and mitigating </w:t>
      </w:r>
      <w:r w:rsidR="007A1023" w:rsidRPr="003B60CC">
        <w:rPr>
          <w:rFonts w:ascii="Verdana" w:hAnsi="Verdana" w:cs="Times New Roman"/>
          <w:color w:val="auto"/>
          <w:sz w:val="22"/>
          <w:szCs w:val="22"/>
        </w:rPr>
        <w:t xml:space="preserve">risks to the environment identified </w:t>
      </w:r>
      <w:r w:rsidR="00AB0DF7">
        <w:rPr>
          <w:rFonts w:ascii="Verdana" w:hAnsi="Verdana" w:cs="Times New Roman"/>
          <w:color w:val="auto"/>
          <w:sz w:val="22"/>
          <w:szCs w:val="22"/>
        </w:rPr>
        <w:t>by the CSRM risk management program</w:t>
      </w:r>
    </w:p>
    <w:p w14:paraId="0BA9D980" w14:textId="54FF4060" w:rsidR="00107943" w:rsidRPr="00377362" w:rsidRDefault="00107943" w:rsidP="00584957">
      <w:pPr>
        <w:rPr>
          <w:color w:val="008000"/>
          <w:highlight w:val="yellow"/>
        </w:rPr>
      </w:pPr>
    </w:p>
    <w:p w14:paraId="24B45788" w14:textId="77C18E44" w:rsidR="00222A99" w:rsidRPr="003B60CC" w:rsidRDefault="00073D0F" w:rsidP="007E7E5E">
      <w:pPr>
        <w:pStyle w:val="Heading1"/>
        <w:spacing w:after="240"/>
        <w:rPr>
          <w:rFonts w:ascii="Verdana" w:hAnsi="Verdana"/>
          <w:color w:val="008000"/>
          <w:sz w:val="22"/>
          <w:szCs w:val="22"/>
        </w:rPr>
      </w:pPr>
      <w:bookmarkStart w:id="22" w:name="_Toc14262285"/>
      <w:r w:rsidRPr="003B60CC">
        <w:rPr>
          <w:rFonts w:ascii="Verdana" w:hAnsi="Verdana"/>
          <w:color w:val="008000"/>
          <w:sz w:val="22"/>
          <w:szCs w:val="22"/>
        </w:rPr>
        <w:t>Commonwealth</w:t>
      </w:r>
      <w:r w:rsidR="00222A99" w:rsidRPr="003B60CC">
        <w:rPr>
          <w:rFonts w:ascii="Verdana" w:hAnsi="Verdana"/>
          <w:color w:val="008000"/>
          <w:sz w:val="22"/>
          <w:szCs w:val="22"/>
        </w:rPr>
        <w:t xml:space="preserve"> IT </w:t>
      </w:r>
      <w:r w:rsidR="00646C32">
        <w:rPr>
          <w:rFonts w:ascii="Verdana" w:hAnsi="Verdana"/>
          <w:color w:val="008000"/>
          <w:sz w:val="22"/>
          <w:szCs w:val="22"/>
        </w:rPr>
        <w:t>r</w:t>
      </w:r>
      <w:r w:rsidR="00222A99" w:rsidRPr="003B60CC">
        <w:rPr>
          <w:rFonts w:ascii="Verdana" w:hAnsi="Verdana"/>
          <w:color w:val="008000"/>
          <w:sz w:val="22"/>
          <w:szCs w:val="22"/>
        </w:rPr>
        <w:t xml:space="preserve">isk </w:t>
      </w:r>
      <w:r w:rsidR="00646C32">
        <w:rPr>
          <w:rFonts w:ascii="Verdana" w:hAnsi="Verdana"/>
          <w:color w:val="008000"/>
          <w:sz w:val="22"/>
          <w:szCs w:val="22"/>
        </w:rPr>
        <w:t>m</w:t>
      </w:r>
      <w:r w:rsidR="00222A99" w:rsidRPr="003B60CC">
        <w:rPr>
          <w:rFonts w:ascii="Verdana" w:hAnsi="Verdana"/>
          <w:color w:val="008000"/>
          <w:sz w:val="22"/>
          <w:szCs w:val="22"/>
        </w:rPr>
        <w:t xml:space="preserve">anagement </w:t>
      </w:r>
      <w:r w:rsidR="00646C32">
        <w:rPr>
          <w:rFonts w:ascii="Verdana" w:hAnsi="Verdana"/>
          <w:color w:val="008000"/>
          <w:sz w:val="22"/>
          <w:szCs w:val="22"/>
        </w:rPr>
        <w:t>p</w:t>
      </w:r>
      <w:r w:rsidR="00222A99" w:rsidRPr="003B60CC">
        <w:rPr>
          <w:rFonts w:ascii="Verdana" w:hAnsi="Verdana"/>
          <w:color w:val="008000"/>
          <w:sz w:val="22"/>
          <w:szCs w:val="22"/>
        </w:rPr>
        <w:t>rogram</w:t>
      </w:r>
      <w:bookmarkEnd w:id="22"/>
    </w:p>
    <w:p w14:paraId="358ED041" w14:textId="18480C4C" w:rsidR="006F35FB" w:rsidRPr="003B60CC" w:rsidRDefault="007E7E5E" w:rsidP="00FC0502">
      <w:pPr>
        <w:rPr>
          <w:rFonts w:ascii="Verdana" w:hAnsi="Verdana" w:cs="Times New Roman"/>
          <w:color w:val="auto"/>
          <w:sz w:val="22"/>
          <w:szCs w:val="22"/>
        </w:rPr>
      </w:pPr>
      <w:r w:rsidRPr="003B60CC">
        <w:rPr>
          <w:rFonts w:ascii="Verdana" w:hAnsi="Verdana" w:cs="Times New Roman"/>
          <w:color w:val="auto"/>
          <w:sz w:val="22"/>
          <w:szCs w:val="22"/>
        </w:rPr>
        <w:t>The</w:t>
      </w:r>
      <w:r w:rsidR="006F35FB" w:rsidRPr="003B60CC">
        <w:rPr>
          <w:rFonts w:ascii="Verdana" w:hAnsi="Verdana" w:cs="Times New Roman"/>
          <w:color w:val="auto"/>
          <w:sz w:val="22"/>
          <w:szCs w:val="22"/>
        </w:rPr>
        <w:t xml:space="preserve"> commonwealth</w:t>
      </w:r>
      <w:r w:rsidRPr="003B60CC">
        <w:rPr>
          <w:rFonts w:ascii="Verdana" w:hAnsi="Verdana" w:cs="Times New Roman"/>
          <w:color w:val="auto"/>
          <w:sz w:val="22"/>
          <w:szCs w:val="22"/>
        </w:rPr>
        <w:t xml:space="preserve"> IT </w:t>
      </w:r>
      <w:r w:rsidR="003B0C99" w:rsidRPr="003B60CC">
        <w:rPr>
          <w:rFonts w:ascii="Verdana" w:hAnsi="Verdana" w:cs="Times New Roman"/>
          <w:color w:val="auto"/>
          <w:sz w:val="22"/>
          <w:szCs w:val="22"/>
        </w:rPr>
        <w:t>r</w:t>
      </w:r>
      <w:r w:rsidRPr="003B60CC">
        <w:rPr>
          <w:rFonts w:ascii="Verdana" w:hAnsi="Verdana" w:cs="Times New Roman"/>
          <w:color w:val="auto"/>
          <w:sz w:val="22"/>
          <w:szCs w:val="22"/>
        </w:rPr>
        <w:t xml:space="preserve">isk </w:t>
      </w:r>
      <w:r w:rsidR="003B0C99" w:rsidRPr="003B60CC">
        <w:rPr>
          <w:rFonts w:ascii="Verdana" w:hAnsi="Verdana" w:cs="Times New Roman"/>
          <w:color w:val="auto"/>
          <w:sz w:val="22"/>
          <w:szCs w:val="22"/>
        </w:rPr>
        <w:t>m</w:t>
      </w:r>
      <w:r w:rsidR="00EB683B" w:rsidRPr="003B60CC">
        <w:rPr>
          <w:rFonts w:ascii="Verdana" w:hAnsi="Verdana" w:cs="Times New Roman"/>
          <w:color w:val="auto"/>
          <w:sz w:val="22"/>
          <w:szCs w:val="22"/>
        </w:rPr>
        <w:t>anagement</w:t>
      </w:r>
      <w:r w:rsidRPr="003B60CC">
        <w:rPr>
          <w:rFonts w:ascii="Verdana" w:hAnsi="Verdana" w:cs="Times New Roman"/>
          <w:color w:val="auto"/>
          <w:sz w:val="22"/>
          <w:szCs w:val="22"/>
        </w:rPr>
        <w:t xml:space="preserve"> program </w:t>
      </w:r>
      <w:r w:rsidR="006F35FB" w:rsidRPr="003B60CC">
        <w:rPr>
          <w:rFonts w:ascii="Verdana" w:hAnsi="Verdana" w:cs="Times New Roman"/>
          <w:color w:val="auto"/>
          <w:sz w:val="22"/>
          <w:szCs w:val="22"/>
        </w:rPr>
        <w:t>provides</w:t>
      </w:r>
      <w:r w:rsidR="009A2B0B" w:rsidRPr="003B60CC">
        <w:rPr>
          <w:rFonts w:ascii="Verdana" w:hAnsi="Verdana" w:cs="Times New Roman"/>
          <w:color w:val="auto"/>
          <w:sz w:val="22"/>
          <w:szCs w:val="22"/>
        </w:rPr>
        <w:t xml:space="preserve"> </w:t>
      </w:r>
      <w:r w:rsidR="006F35FB" w:rsidRPr="003B60CC">
        <w:rPr>
          <w:rFonts w:ascii="Verdana" w:hAnsi="Verdana" w:cs="Times New Roman"/>
          <w:color w:val="auto"/>
          <w:sz w:val="22"/>
          <w:szCs w:val="22"/>
        </w:rPr>
        <w:t xml:space="preserve">oversight of the </w:t>
      </w:r>
      <w:r w:rsidR="00EB683B" w:rsidRPr="003B60CC">
        <w:rPr>
          <w:rFonts w:ascii="Verdana" w:hAnsi="Verdana" w:cs="Times New Roman"/>
          <w:color w:val="auto"/>
          <w:sz w:val="22"/>
          <w:szCs w:val="22"/>
        </w:rPr>
        <w:t>agencies’ risk</w:t>
      </w:r>
      <w:r w:rsidR="006F35FB" w:rsidRPr="003B60CC">
        <w:rPr>
          <w:rFonts w:ascii="Verdana" w:hAnsi="Verdana" w:cs="Times New Roman"/>
          <w:color w:val="auto"/>
          <w:sz w:val="22"/>
          <w:szCs w:val="22"/>
        </w:rPr>
        <w:t xml:space="preserve"> management programs, including </w:t>
      </w:r>
      <w:r w:rsidR="002B75CC" w:rsidRPr="003B60CC">
        <w:rPr>
          <w:rFonts w:ascii="Verdana" w:hAnsi="Verdana" w:cs="Times New Roman"/>
          <w:color w:val="auto"/>
          <w:sz w:val="22"/>
          <w:szCs w:val="22"/>
        </w:rPr>
        <w:t xml:space="preserve">submission </w:t>
      </w:r>
      <w:r w:rsidR="00222A99" w:rsidRPr="003B60CC">
        <w:rPr>
          <w:rFonts w:ascii="Verdana" w:hAnsi="Verdana" w:cs="Times New Roman"/>
          <w:color w:val="auto"/>
          <w:sz w:val="22"/>
          <w:szCs w:val="22"/>
        </w:rPr>
        <w:t xml:space="preserve">of </w:t>
      </w:r>
      <w:r w:rsidR="00967BE9" w:rsidRPr="003B60CC">
        <w:rPr>
          <w:rFonts w:ascii="Verdana" w:hAnsi="Verdana" w:cs="Times New Roman"/>
          <w:color w:val="auto"/>
          <w:sz w:val="22"/>
          <w:szCs w:val="22"/>
        </w:rPr>
        <w:t xml:space="preserve">their </w:t>
      </w:r>
      <w:r w:rsidR="00D56CDC" w:rsidRPr="003B60CC">
        <w:rPr>
          <w:rFonts w:ascii="Verdana" w:hAnsi="Verdana" w:cs="Times New Roman"/>
          <w:color w:val="auto"/>
          <w:sz w:val="22"/>
          <w:szCs w:val="22"/>
        </w:rPr>
        <w:t>BIA</w:t>
      </w:r>
      <w:r w:rsidR="00222A99" w:rsidRPr="003B60CC">
        <w:rPr>
          <w:rFonts w:ascii="Verdana" w:hAnsi="Verdana" w:cs="Times New Roman"/>
          <w:color w:val="auto"/>
          <w:sz w:val="22"/>
          <w:szCs w:val="22"/>
        </w:rPr>
        <w:t xml:space="preserve">, risk assessments and intrusion detection reporting. </w:t>
      </w:r>
      <w:r w:rsidR="00A90973" w:rsidRPr="003B60CC">
        <w:rPr>
          <w:rFonts w:ascii="Verdana" w:hAnsi="Verdana" w:cs="Times New Roman"/>
          <w:color w:val="auto"/>
          <w:sz w:val="22"/>
          <w:szCs w:val="22"/>
        </w:rPr>
        <w:t xml:space="preserve">In addition, </w:t>
      </w:r>
      <w:r w:rsidR="006F35FB" w:rsidRPr="003B60CC">
        <w:rPr>
          <w:rFonts w:ascii="Verdana" w:hAnsi="Verdana" w:cs="Times New Roman"/>
          <w:color w:val="auto"/>
          <w:sz w:val="22"/>
          <w:szCs w:val="22"/>
        </w:rPr>
        <w:t>CSRM collected sets of data from agencies</w:t>
      </w:r>
      <w:r w:rsidR="00FE3E91" w:rsidRPr="003B60CC">
        <w:rPr>
          <w:rFonts w:ascii="Verdana" w:hAnsi="Verdana" w:cs="Times New Roman"/>
          <w:color w:val="auto"/>
          <w:sz w:val="22"/>
          <w:szCs w:val="22"/>
        </w:rPr>
        <w:t>’</w:t>
      </w:r>
      <w:r w:rsidR="006F35FB" w:rsidRPr="003B60CC">
        <w:rPr>
          <w:rFonts w:ascii="Verdana" w:hAnsi="Verdana" w:cs="Times New Roman"/>
          <w:color w:val="auto"/>
          <w:sz w:val="22"/>
          <w:szCs w:val="22"/>
        </w:rPr>
        <w:t xml:space="preserve"> existing </w:t>
      </w:r>
      <w:r w:rsidR="00FE3E91" w:rsidRPr="003B60CC">
        <w:rPr>
          <w:rFonts w:ascii="Verdana" w:hAnsi="Verdana" w:cs="Times New Roman"/>
          <w:color w:val="auto"/>
          <w:sz w:val="22"/>
          <w:szCs w:val="22"/>
        </w:rPr>
        <w:t>BIAs</w:t>
      </w:r>
      <w:r w:rsidR="006F35FB" w:rsidRPr="003B60CC">
        <w:rPr>
          <w:rFonts w:ascii="Verdana" w:hAnsi="Verdana" w:cs="Times New Roman"/>
          <w:color w:val="auto"/>
          <w:sz w:val="22"/>
          <w:szCs w:val="22"/>
        </w:rPr>
        <w:t xml:space="preserve">, risk assessments and data on vulnerabilities and threats. These data are used to develop the </w:t>
      </w:r>
      <w:r w:rsidR="00E24757" w:rsidRPr="003B60CC">
        <w:rPr>
          <w:rFonts w:ascii="Verdana" w:hAnsi="Verdana" w:cs="Times New Roman"/>
          <w:color w:val="auto"/>
          <w:sz w:val="22"/>
          <w:szCs w:val="22"/>
        </w:rPr>
        <w:t xml:space="preserve">commonwealth’s </w:t>
      </w:r>
      <w:r w:rsidR="006F35FB" w:rsidRPr="003B60CC">
        <w:rPr>
          <w:rFonts w:ascii="Verdana" w:hAnsi="Verdana" w:cs="Times New Roman"/>
          <w:color w:val="auto"/>
          <w:sz w:val="22"/>
          <w:szCs w:val="22"/>
        </w:rPr>
        <w:t>overall risk program score, which indicates that more than half of the agencies have an insufficient risk management program.</w:t>
      </w:r>
    </w:p>
    <w:p w14:paraId="18734D6B" w14:textId="77777777" w:rsidR="009A42FE" w:rsidRPr="003B60CC" w:rsidRDefault="00156D12" w:rsidP="009A42FE">
      <w:pPr>
        <w:pStyle w:val="Heading2"/>
        <w:spacing w:before="100" w:beforeAutospacing="1" w:after="100" w:afterAutospacing="1"/>
        <w:contextualSpacing/>
        <w:rPr>
          <w:sz w:val="22"/>
          <w:szCs w:val="22"/>
        </w:rPr>
      </w:pPr>
      <w:bookmarkStart w:id="23" w:name="_Toc14262286"/>
      <w:r w:rsidRPr="003B60CC">
        <w:rPr>
          <w:sz w:val="22"/>
          <w:szCs w:val="22"/>
        </w:rPr>
        <w:t xml:space="preserve">Risk </w:t>
      </w:r>
      <w:r w:rsidR="003B0C99" w:rsidRPr="003B60CC">
        <w:rPr>
          <w:sz w:val="22"/>
          <w:szCs w:val="22"/>
        </w:rPr>
        <w:t>c</w:t>
      </w:r>
      <w:r w:rsidR="00401D3E" w:rsidRPr="003B60CC">
        <w:rPr>
          <w:sz w:val="22"/>
          <w:szCs w:val="22"/>
        </w:rPr>
        <w:t xml:space="preserve">ompliance </w:t>
      </w:r>
      <w:r w:rsidR="003B0C99" w:rsidRPr="003B60CC">
        <w:rPr>
          <w:sz w:val="22"/>
          <w:szCs w:val="22"/>
        </w:rPr>
        <w:t>r</w:t>
      </w:r>
      <w:r w:rsidR="00401D3E" w:rsidRPr="003B60CC">
        <w:rPr>
          <w:sz w:val="22"/>
          <w:szCs w:val="22"/>
        </w:rPr>
        <w:t xml:space="preserve">eport </w:t>
      </w:r>
      <w:r w:rsidR="003B0C99" w:rsidRPr="003B60CC">
        <w:rPr>
          <w:sz w:val="22"/>
          <w:szCs w:val="22"/>
        </w:rPr>
        <w:t>c</w:t>
      </w:r>
      <w:r w:rsidR="00401D3E" w:rsidRPr="003B60CC">
        <w:rPr>
          <w:sz w:val="22"/>
          <w:szCs w:val="22"/>
        </w:rPr>
        <w:t>ard</w:t>
      </w:r>
      <w:bookmarkEnd w:id="23"/>
    </w:p>
    <w:p w14:paraId="36D40E65" w14:textId="1F0C7A6E" w:rsidR="00401D3E" w:rsidRPr="003B60CC" w:rsidRDefault="00401D3E" w:rsidP="009A42FE">
      <w:pPr>
        <w:spacing w:before="100" w:beforeAutospacing="1" w:after="100" w:afterAutospacing="1"/>
        <w:rPr>
          <w:rFonts w:ascii="Verdana" w:hAnsi="Verdana" w:cs="Times New Roman"/>
          <w:color w:val="auto"/>
          <w:sz w:val="22"/>
          <w:szCs w:val="22"/>
        </w:rPr>
      </w:pPr>
      <w:r w:rsidRPr="003B60CC">
        <w:rPr>
          <w:rFonts w:ascii="Verdana" w:hAnsi="Verdana" w:cs="Times New Roman"/>
          <w:color w:val="auto"/>
          <w:sz w:val="22"/>
          <w:szCs w:val="22"/>
        </w:rPr>
        <w:t xml:space="preserve">Overall risk compliance has improved. The percentage of agencies with grades of A and B also increased from the prior year. CSRM anticipates the risk program compliance will continue to increase with agencies using the centralized ISO service and </w:t>
      </w:r>
      <w:r w:rsidR="000F0866" w:rsidRPr="003B60CC">
        <w:rPr>
          <w:rFonts w:ascii="Verdana" w:hAnsi="Verdana" w:cs="Times New Roman"/>
          <w:color w:val="auto"/>
          <w:sz w:val="22"/>
          <w:szCs w:val="22"/>
        </w:rPr>
        <w:t>dedicating IT</w:t>
      </w:r>
      <w:r w:rsidRPr="003B60CC">
        <w:rPr>
          <w:rFonts w:ascii="Verdana" w:hAnsi="Verdana" w:cs="Times New Roman"/>
          <w:color w:val="auto"/>
          <w:sz w:val="22"/>
          <w:szCs w:val="22"/>
        </w:rPr>
        <w:t xml:space="preserve"> resources toward their risk management programs.</w:t>
      </w:r>
    </w:p>
    <w:p w14:paraId="42D80AE8" w14:textId="366A9A7A" w:rsidR="006F35FB" w:rsidRPr="00377362" w:rsidRDefault="00286ECD" w:rsidP="003B60CC">
      <w:pPr>
        <w:spacing w:before="100" w:beforeAutospacing="1" w:after="100" w:afterAutospacing="1"/>
        <w:jc w:val="center"/>
        <w:rPr>
          <w:rFonts w:ascii="Verdana" w:hAnsi="Verdana" w:cs="Times New Roman"/>
          <w:color w:val="auto"/>
          <w:sz w:val="22"/>
          <w:szCs w:val="22"/>
          <w:highlight w:val="yellow"/>
        </w:rPr>
      </w:pPr>
      <w:r>
        <w:rPr>
          <w:noProof/>
        </w:rPr>
        <w:drawing>
          <wp:inline distT="0" distB="0" distL="0" distR="0" wp14:anchorId="3079207A" wp14:editId="5463F5C8">
            <wp:extent cx="5072062" cy="3090862"/>
            <wp:effectExtent l="0" t="0" r="0" b="0"/>
            <wp:docPr id="701" name="Chart 70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11DFA5E" w14:textId="32B5106A" w:rsidR="00401D3E" w:rsidRPr="00377362" w:rsidRDefault="00401D3E" w:rsidP="00C97B27">
      <w:pPr>
        <w:rPr>
          <w:rFonts w:ascii="Verdana" w:hAnsi="Verdana"/>
          <w:sz w:val="22"/>
          <w:szCs w:val="22"/>
          <w:highlight w:val="yellow"/>
        </w:rPr>
      </w:pPr>
    </w:p>
    <w:p w14:paraId="75273015" w14:textId="031E8FD3" w:rsidR="00260066" w:rsidRPr="005F76CC" w:rsidRDefault="00260066" w:rsidP="0095446A">
      <w:pPr>
        <w:pStyle w:val="Heading2"/>
        <w:rPr>
          <w:sz w:val="22"/>
        </w:rPr>
      </w:pPr>
      <w:bookmarkStart w:id="24" w:name="_Toc14262287"/>
      <w:r w:rsidRPr="005F76CC">
        <w:rPr>
          <w:sz w:val="22"/>
        </w:rPr>
        <w:t xml:space="preserve">IT </w:t>
      </w:r>
      <w:r w:rsidR="00B9795B">
        <w:rPr>
          <w:sz w:val="22"/>
        </w:rPr>
        <w:t>r</w:t>
      </w:r>
      <w:r w:rsidRPr="005F76CC">
        <w:rPr>
          <w:sz w:val="22"/>
        </w:rPr>
        <w:t xml:space="preserve">isk </w:t>
      </w:r>
      <w:r w:rsidR="00B9795B">
        <w:rPr>
          <w:sz w:val="22"/>
        </w:rPr>
        <w:t>m</w:t>
      </w:r>
      <w:r w:rsidRPr="005F76CC">
        <w:rPr>
          <w:sz w:val="22"/>
        </w:rPr>
        <w:t xml:space="preserve">anagement </w:t>
      </w:r>
      <w:r w:rsidR="00B9795B">
        <w:rPr>
          <w:sz w:val="22"/>
        </w:rPr>
        <w:t>p</w:t>
      </w:r>
      <w:r w:rsidRPr="005F76CC">
        <w:rPr>
          <w:sz w:val="22"/>
        </w:rPr>
        <w:t xml:space="preserve">rogram </w:t>
      </w:r>
      <w:r w:rsidR="00B9795B">
        <w:rPr>
          <w:sz w:val="22"/>
        </w:rPr>
        <w:t>m</w:t>
      </w:r>
      <w:r w:rsidRPr="005F76CC">
        <w:rPr>
          <w:sz w:val="22"/>
        </w:rPr>
        <w:t>onitoring</w:t>
      </w:r>
      <w:bookmarkEnd w:id="24"/>
      <w:r w:rsidRPr="005F76CC">
        <w:rPr>
          <w:sz w:val="22"/>
        </w:rPr>
        <w:t xml:space="preserve"> </w:t>
      </w:r>
    </w:p>
    <w:p w14:paraId="7B6C929B" w14:textId="77777777" w:rsidR="00260066" w:rsidRPr="005F76CC" w:rsidRDefault="00260066" w:rsidP="00C97B27">
      <w:pPr>
        <w:rPr>
          <w:rFonts w:ascii="Verdana" w:hAnsi="Verdana"/>
          <w:b/>
          <w:sz w:val="22"/>
          <w:szCs w:val="22"/>
        </w:rPr>
      </w:pPr>
    </w:p>
    <w:p w14:paraId="65A3E8AB" w14:textId="1C3FB107" w:rsidR="00D761CD" w:rsidRPr="005F76CC" w:rsidRDefault="005166EA" w:rsidP="00C97B27">
      <w:pPr>
        <w:rPr>
          <w:rFonts w:ascii="Verdana" w:hAnsi="Verdana"/>
          <w:sz w:val="22"/>
          <w:szCs w:val="22"/>
        </w:rPr>
      </w:pPr>
      <w:r>
        <w:rPr>
          <w:rFonts w:ascii="Verdana" w:hAnsi="Verdana"/>
          <w:b/>
          <w:sz w:val="22"/>
          <w:szCs w:val="22"/>
        </w:rPr>
        <w:t>R</w:t>
      </w:r>
      <w:r w:rsidR="005F76CC">
        <w:rPr>
          <w:rFonts w:ascii="Verdana" w:hAnsi="Verdana"/>
          <w:b/>
          <w:sz w:val="22"/>
          <w:szCs w:val="22"/>
        </w:rPr>
        <w:t xml:space="preserve">isk </w:t>
      </w:r>
      <w:r w:rsidR="003559E9" w:rsidRPr="005F76CC">
        <w:rPr>
          <w:rFonts w:ascii="Verdana" w:hAnsi="Verdana"/>
          <w:b/>
          <w:sz w:val="22"/>
          <w:szCs w:val="22"/>
        </w:rPr>
        <w:t xml:space="preserve">management </w:t>
      </w:r>
      <w:r w:rsidR="006F35FB" w:rsidRPr="005F76CC">
        <w:rPr>
          <w:rFonts w:ascii="Verdana" w:hAnsi="Verdana"/>
          <w:b/>
          <w:sz w:val="22"/>
          <w:szCs w:val="22"/>
        </w:rPr>
        <w:t>program</w:t>
      </w:r>
      <w:r w:rsidR="00D761CD" w:rsidRPr="005F76CC">
        <w:rPr>
          <w:rFonts w:ascii="Verdana" w:hAnsi="Verdana"/>
          <w:b/>
          <w:sz w:val="22"/>
          <w:szCs w:val="22"/>
        </w:rPr>
        <w:t xml:space="preserve"> compliance</w:t>
      </w:r>
      <w:r>
        <w:rPr>
          <w:rFonts w:ascii="Verdana" w:hAnsi="Verdana"/>
          <w:b/>
          <w:sz w:val="22"/>
          <w:szCs w:val="22"/>
        </w:rPr>
        <w:t xml:space="preserve"> improved</w:t>
      </w:r>
      <w:r w:rsidR="005F76CC">
        <w:rPr>
          <w:rFonts w:ascii="Verdana" w:hAnsi="Verdana"/>
          <w:b/>
          <w:sz w:val="22"/>
          <w:szCs w:val="22"/>
        </w:rPr>
        <w:t xml:space="preserve">. </w:t>
      </w:r>
      <w:r w:rsidR="00D761CD" w:rsidRPr="005F76CC">
        <w:rPr>
          <w:rFonts w:ascii="Verdana" w:hAnsi="Verdana"/>
          <w:sz w:val="22"/>
          <w:szCs w:val="22"/>
        </w:rPr>
        <w:t>Risk management p</w:t>
      </w:r>
      <w:r w:rsidR="005F76CC">
        <w:rPr>
          <w:rFonts w:ascii="Verdana" w:hAnsi="Verdana"/>
          <w:sz w:val="22"/>
          <w:szCs w:val="22"/>
        </w:rPr>
        <w:t>rogram compliance increased 10</w:t>
      </w:r>
      <w:r w:rsidR="00B9795B">
        <w:rPr>
          <w:rFonts w:ascii="Verdana" w:hAnsi="Verdana"/>
          <w:sz w:val="22"/>
          <w:szCs w:val="22"/>
        </w:rPr>
        <w:t>%</w:t>
      </w:r>
      <w:r w:rsidR="005F76CC">
        <w:rPr>
          <w:rFonts w:ascii="Verdana" w:hAnsi="Verdana"/>
          <w:sz w:val="22"/>
          <w:szCs w:val="22"/>
        </w:rPr>
        <w:t xml:space="preserve"> from last year due to agencies implementing a </w:t>
      </w:r>
      <w:r w:rsidR="00D761CD" w:rsidRPr="005F76CC">
        <w:rPr>
          <w:rFonts w:ascii="Verdana" w:hAnsi="Verdana"/>
          <w:sz w:val="22"/>
          <w:szCs w:val="22"/>
        </w:rPr>
        <w:t>compr</w:t>
      </w:r>
      <w:r w:rsidR="005F76CC">
        <w:rPr>
          <w:rFonts w:ascii="Verdana" w:hAnsi="Verdana"/>
          <w:sz w:val="22"/>
          <w:szCs w:val="22"/>
        </w:rPr>
        <w:t>ehensive risk management program</w:t>
      </w:r>
      <w:r>
        <w:rPr>
          <w:rFonts w:ascii="Verdana" w:hAnsi="Verdana"/>
          <w:sz w:val="22"/>
          <w:szCs w:val="22"/>
        </w:rPr>
        <w:t>, including business impact analysis, risk assessment plans and risk assessments. CSRM dedicated additional resources to monitor agency management. A</w:t>
      </w:r>
      <w:r w:rsidR="005F76CC">
        <w:rPr>
          <w:rFonts w:ascii="Verdana" w:hAnsi="Verdana"/>
          <w:sz w:val="22"/>
          <w:szCs w:val="22"/>
        </w:rPr>
        <w:t>gencies use</w:t>
      </w:r>
      <w:r>
        <w:rPr>
          <w:rFonts w:ascii="Verdana" w:hAnsi="Verdana"/>
          <w:sz w:val="22"/>
          <w:szCs w:val="22"/>
        </w:rPr>
        <w:t xml:space="preserve">d additional IT security funding to </w:t>
      </w:r>
      <w:r w:rsidR="005F76CC">
        <w:rPr>
          <w:rFonts w:ascii="Verdana" w:hAnsi="Verdana"/>
          <w:sz w:val="22"/>
          <w:szCs w:val="22"/>
        </w:rPr>
        <w:t xml:space="preserve">complete </w:t>
      </w:r>
      <w:r>
        <w:rPr>
          <w:rFonts w:ascii="Verdana" w:hAnsi="Verdana"/>
          <w:sz w:val="22"/>
          <w:szCs w:val="22"/>
        </w:rPr>
        <w:t xml:space="preserve">perform risk management functions, including engaging </w:t>
      </w:r>
      <w:r w:rsidR="005F76CC">
        <w:rPr>
          <w:rFonts w:ascii="Verdana" w:hAnsi="Verdana"/>
          <w:sz w:val="22"/>
          <w:szCs w:val="22"/>
        </w:rPr>
        <w:t xml:space="preserve">VITA ISO services. </w:t>
      </w:r>
      <w:r w:rsidR="00434583" w:rsidRPr="005F76CC">
        <w:rPr>
          <w:rFonts w:ascii="Verdana" w:hAnsi="Verdana"/>
          <w:sz w:val="22"/>
          <w:szCs w:val="22"/>
        </w:rPr>
        <w:t>CSRM recommends that agencies</w:t>
      </w:r>
      <w:r>
        <w:rPr>
          <w:rFonts w:ascii="Verdana" w:hAnsi="Verdana"/>
          <w:sz w:val="22"/>
          <w:szCs w:val="22"/>
        </w:rPr>
        <w:t xml:space="preserve"> continue to</w:t>
      </w:r>
      <w:r w:rsidR="00434583" w:rsidRPr="005F76CC">
        <w:rPr>
          <w:rFonts w:ascii="Verdana" w:hAnsi="Verdana"/>
          <w:sz w:val="22"/>
          <w:szCs w:val="22"/>
        </w:rPr>
        <w:t xml:space="preserve"> </w:t>
      </w:r>
      <w:r w:rsidR="00D761CD" w:rsidRPr="005F76CC">
        <w:rPr>
          <w:rFonts w:ascii="Verdana" w:hAnsi="Verdana"/>
          <w:sz w:val="22"/>
          <w:szCs w:val="22"/>
        </w:rPr>
        <w:t xml:space="preserve">support risk management efforts by dedicating the </w:t>
      </w:r>
      <w:r w:rsidR="00434583" w:rsidRPr="005F76CC">
        <w:rPr>
          <w:rFonts w:ascii="Verdana" w:hAnsi="Verdana"/>
          <w:sz w:val="22"/>
          <w:szCs w:val="22"/>
        </w:rPr>
        <w:t xml:space="preserve">necessary resources to </w:t>
      </w:r>
      <w:r w:rsidR="00D761CD" w:rsidRPr="005F76CC">
        <w:rPr>
          <w:rFonts w:ascii="Verdana" w:hAnsi="Verdana"/>
          <w:sz w:val="22"/>
          <w:szCs w:val="22"/>
        </w:rPr>
        <w:t xml:space="preserve">their IT </w:t>
      </w:r>
      <w:r w:rsidR="00434583" w:rsidRPr="005F76CC">
        <w:rPr>
          <w:rFonts w:ascii="Verdana" w:hAnsi="Verdana"/>
          <w:sz w:val="22"/>
          <w:szCs w:val="22"/>
        </w:rPr>
        <w:t xml:space="preserve">risk </w:t>
      </w:r>
      <w:r w:rsidR="00D761CD" w:rsidRPr="005F76CC">
        <w:rPr>
          <w:rFonts w:ascii="Verdana" w:hAnsi="Verdana"/>
          <w:sz w:val="22"/>
          <w:szCs w:val="22"/>
        </w:rPr>
        <w:t xml:space="preserve">management </w:t>
      </w:r>
      <w:r w:rsidR="00434583" w:rsidRPr="005F76CC">
        <w:rPr>
          <w:rFonts w:ascii="Verdana" w:hAnsi="Verdana"/>
          <w:sz w:val="22"/>
          <w:szCs w:val="22"/>
        </w:rPr>
        <w:t>programs</w:t>
      </w:r>
      <w:r w:rsidR="00D761CD" w:rsidRPr="005F76CC">
        <w:rPr>
          <w:rFonts w:ascii="Verdana" w:hAnsi="Verdana"/>
          <w:sz w:val="22"/>
          <w:szCs w:val="22"/>
        </w:rPr>
        <w:t>.</w:t>
      </w:r>
    </w:p>
    <w:p w14:paraId="0F41439D" w14:textId="5C21D5AA" w:rsidR="00222A99" w:rsidRPr="005F76CC" w:rsidRDefault="003559E9" w:rsidP="00C97B27">
      <w:pPr>
        <w:rPr>
          <w:rFonts w:ascii="Verdana" w:hAnsi="Verdana"/>
          <w:sz w:val="22"/>
          <w:szCs w:val="22"/>
        </w:rPr>
      </w:pPr>
      <w:r w:rsidRPr="005F76CC">
        <w:rPr>
          <w:rFonts w:ascii="Verdana" w:hAnsi="Verdana"/>
          <w:sz w:val="22"/>
          <w:szCs w:val="22"/>
        </w:rPr>
        <w:t xml:space="preserve"> </w:t>
      </w:r>
    </w:p>
    <w:p w14:paraId="55CBA8E3" w14:textId="5CC5C646" w:rsidR="00E52079" w:rsidRPr="005F76CC" w:rsidRDefault="00E5207C" w:rsidP="00C97B27">
      <w:pPr>
        <w:rPr>
          <w:rFonts w:ascii="Verdana" w:hAnsi="Verdana"/>
          <w:color w:val="1F497D"/>
          <w:sz w:val="22"/>
          <w:szCs w:val="22"/>
        </w:rPr>
      </w:pPr>
      <w:r w:rsidRPr="005F76CC">
        <w:rPr>
          <w:rFonts w:ascii="Verdana" w:hAnsi="Verdana"/>
          <w:bCs/>
          <w:noProof/>
          <w:color w:val="00B050"/>
          <w:sz w:val="22"/>
          <w:szCs w:val="22"/>
        </w:rPr>
        <mc:AlternateContent>
          <mc:Choice Requires="wps">
            <w:drawing>
              <wp:anchor distT="0" distB="0" distL="114300" distR="114300" simplePos="0" relativeHeight="251693056" behindDoc="1" locked="0" layoutInCell="1" allowOverlap="1" wp14:anchorId="30A77511" wp14:editId="7E0378F5">
                <wp:simplePos x="0" y="0"/>
                <wp:positionH relativeFrom="column">
                  <wp:posOffset>4652010</wp:posOffset>
                </wp:positionH>
                <wp:positionV relativeFrom="paragraph">
                  <wp:posOffset>419735</wp:posOffset>
                </wp:positionV>
                <wp:extent cx="593090" cy="741680"/>
                <wp:effectExtent l="19050" t="19050" r="35560" b="20320"/>
                <wp:wrapNone/>
                <wp:docPr id="34" name="Up Arrow 7"/>
                <wp:cNvGraphicFramePr/>
                <a:graphic xmlns:a="http://schemas.openxmlformats.org/drawingml/2006/main">
                  <a:graphicData uri="http://schemas.microsoft.com/office/word/2010/wordprocessingShape">
                    <wps:wsp>
                      <wps:cNvSpPr/>
                      <wps:spPr>
                        <a:xfrm>
                          <a:off x="0" y="0"/>
                          <a:ext cx="593090" cy="741680"/>
                        </a:xfrm>
                        <a:prstGeom prst="upArrow">
                          <a:avLst/>
                        </a:prstGeom>
                        <a:solidFill>
                          <a:srgbClr val="00B050"/>
                        </a:solidFill>
                        <a:ln>
                          <a:solidFill>
                            <a:srgbClr val="00B050"/>
                          </a:solidFill>
                        </a:ln>
                        <a:effectLst/>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1E59968" id="Up Arrow 7" o:spid="_x0000_s1026" type="#_x0000_t68" style="position:absolute;margin-left:366.3pt;margin-top:33.05pt;width:46.7pt;height:58.4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" adj="8636" fillcolor="#00b050" strokecolor="#00b050" strokeweight="2pt"/>
            </w:pict>
          </mc:Fallback>
        </mc:AlternateContent>
      </w:r>
      <w:r w:rsidR="00E52079" w:rsidRPr="005F76CC">
        <w:rPr>
          <w:rFonts w:ascii="Verdana" w:hAnsi="Verdana"/>
          <w:bCs/>
          <w:noProof/>
          <w:sz w:val="22"/>
          <w:szCs w:val="22"/>
        </w:rPr>
        <mc:AlternateContent>
          <mc:Choice Requires="wps">
            <w:drawing>
              <wp:anchor distT="0" distB="0" distL="114300" distR="114300" simplePos="0" relativeHeight="251727872" behindDoc="1" locked="0" layoutInCell="1" allowOverlap="1" wp14:anchorId="43F014AB" wp14:editId="2A5445B8">
                <wp:simplePos x="0" y="0"/>
                <wp:positionH relativeFrom="column">
                  <wp:posOffset>4024630</wp:posOffset>
                </wp:positionH>
                <wp:positionV relativeFrom="paragraph">
                  <wp:posOffset>1466850</wp:posOffset>
                </wp:positionV>
                <wp:extent cx="2038350" cy="245745"/>
                <wp:effectExtent l="0" t="0" r="0" b="0"/>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0CD46" w14:textId="52772838" w:rsidR="004B53EA" w:rsidRDefault="004B53EA" w:rsidP="000866C0">
                            <w:pPr>
                              <w:jc w:val="center"/>
                              <w:rPr>
                                <w:rFonts w:ascii="Verdana" w:hAnsi="Verdana"/>
                                <w:b/>
                                <w:sz w:val="20"/>
                                <w:szCs w:val="20"/>
                              </w:rPr>
                            </w:pPr>
                            <w:r>
                              <w:rPr>
                                <w:rFonts w:ascii="Verdana" w:hAnsi="Verdana"/>
                                <w:b/>
                                <w:sz w:val="20"/>
                                <w:szCs w:val="20"/>
                              </w:rPr>
                              <w:t>Overall risk program compliance increased by 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3" type="#_x0000_t202" style="position:absolute;margin-left:316.9pt;margin-top:115.5pt;width:160.5pt;height:19.35pt;z-index:-251588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QxuQIAAMI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" filled="f" stroked="f">
                <v:textbox style="mso-fit-shape-to-text:t">
                  <w:txbxContent>
                    <w:p w14:paraId="5740CD46" w14:textId="52772838" w:rsidR="004B53EA" w:rsidRDefault="004B53EA" w:rsidP="000866C0">
                      <w:pPr>
                        <w:jc w:val="center"/>
                        <w:rPr>
                          <w:rFonts w:ascii="Verdana" w:hAnsi="Verdana"/>
                          <w:b/>
                          <w:sz w:val="20"/>
                          <w:szCs w:val="20"/>
                        </w:rPr>
                      </w:pPr>
                      <w:r>
                        <w:rPr>
                          <w:rFonts w:ascii="Verdana" w:hAnsi="Verdana"/>
                          <w:b/>
                          <w:sz w:val="20"/>
                          <w:szCs w:val="20"/>
                        </w:rPr>
                        <w:t>Overall risk program compliance increased by 10%</w:t>
                      </w:r>
                    </w:p>
                  </w:txbxContent>
                </v:textbox>
              </v:shape>
            </w:pict>
          </mc:Fallback>
        </mc:AlternateContent>
      </w:r>
      <w:r w:rsidR="00D761CD" w:rsidRPr="005F76CC">
        <w:rPr>
          <w:noProof/>
        </w:rPr>
        <w:t xml:space="preserve"> </w:t>
      </w:r>
      <w:r w:rsidR="005F76CC" w:rsidRPr="005F76CC">
        <w:rPr>
          <w:noProof/>
        </w:rPr>
        <w:drawing>
          <wp:inline distT="0" distB="0" distL="0" distR="0" wp14:anchorId="68545B97" wp14:editId="5BDA1D74">
            <wp:extent cx="3914775" cy="22669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11AF7EB" w14:textId="77777777" w:rsidR="006C7F60" w:rsidRPr="005F76CC" w:rsidRDefault="006C7F60" w:rsidP="006C7F60">
      <w:pPr>
        <w:ind w:right="2880"/>
        <w:rPr>
          <w:rFonts w:ascii="Verdana" w:hAnsi="Verdana"/>
          <w:sz w:val="22"/>
          <w:szCs w:val="22"/>
        </w:rPr>
      </w:pPr>
    </w:p>
    <w:p w14:paraId="2443D55A" w14:textId="77777777" w:rsidR="00D761CD" w:rsidRPr="00377362" w:rsidRDefault="00D761CD" w:rsidP="00FF5CF5">
      <w:pPr>
        <w:pStyle w:val="Default"/>
        <w:rPr>
          <w:rFonts w:ascii="Verdana" w:hAnsi="Verdana"/>
          <w:b/>
          <w:sz w:val="22"/>
          <w:szCs w:val="22"/>
          <w:highlight w:val="yellow"/>
        </w:rPr>
      </w:pPr>
    </w:p>
    <w:p w14:paraId="3AD3D505" w14:textId="77777777" w:rsidR="00B5328D" w:rsidRDefault="00B5328D" w:rsidP="00FF5CF5">
      <w:pPr>
        <w:pStyle w:val="Default"/>
        <w:rPr>
          <w:rFonts w:ascii="Verdana" w:hAnsi="Verdana"/>
          <w:b/>
          <w:sz w:val="22"/>
          <w:szCs w:val="22"/>
          <w:highlight w:val="yellow"/>
        </w:rPr>
      </w:pPr>
    </w:p>
    <w:p w14:paraId="71A5549B" w14:textId="1972FCE8" w:rsidR="00B5328D" w:rsidRPr="003B60CC" w:rsidRDefault="00A74D1B" w:rsidP="00FF5CF5">
      <w:pPr>
        <w:pStyle w:val="Default"/>
        <w:rPr>
          <w:rFonts w:ascii="Verdana" w:hAnsi="Verdana"/>
          <w:b/>
          <w:sz w:val="22"/>
          <w:szCs w:val="22"/>
        </w:rPr>
      </w:pPr>
      <w:r>
        <w:rPr>
          <w:rFonts w:ascii="Verdana" w:hAnsi="Verdana"/>
          <w:b/>
          <w:sz w:val="22"/>
          <w:szCs w:val="22"/>
        </w:rPr>
        <w:t xml:space="preserve">Most agencies complete their risk assessment plans. </w:t>
      </w:r>
      <w:r>
        <w:rPr>
          <w:rFonts w:ascii="Verdana" w:hAnsi="Verdana"/>
          <w:sz w:val="22"/>
          <w:szCs w:val="22"/>
        </w:rPr>
        <w:t xml:space="preserve">Agencies are required to submit a risk assessment plan on annual basis that summarizes how they plan to complete risk assessments for each of their sensitive systems. </w:t>
      </w:r>
      <w:r w:rsidR="00E5207C">
        <w:rPr>
          <w:rFonts w:ascii="Verdana" w:hAnsi="Verdana"/>
          <w:sz w:val="22"/>
          <w:szCs w:val="22"/>
        </w:rPr>
        <w:t>Risk assessment plan submissions improved from 77</w:t>
      </w:r>
      <w:r w:rsidR="00B9795B">
        <w:rPr>
          <w:rFonts w:ascii="Verdana" w:hAnsi="Verdana"/>
          <w:sz w:val="22"/>
          <w:szCs w:val="22"/>
        </w:rPr>
        <w:t>%</w:t>
      </w:r>
      <w:r w:rsidR="00E5207C">
        <w:rPr>
          <w:rFonts w:ascii="Verdana" w:hAnsi="Verdana"/>
          <w:sz w:val="22"/>
          <w:szCs w:val="22"/>
        </w:rPr>
        <w:t xml:space="preserve"> to 85</w:t>
      </w:r>
      <w:r w:rsidR="00B9795B">
        <w:rPr>
          <w:rFonts w:ascii="Verdana" w:hAnsi="Verdana"/>
          <w:sz w:val="22"/>
          <w:szCs w:val="22"/>
        </w:rPr>
        <w:t>%</w:t>
      </w:r>
      <w:r w:rsidR="00E5207C">
        <w:rPr>
          <w:rFonts w:ascii="Verdana" w:hAnsi="Verdana"/>
          <w:sz w:val="22"/>
          <w:szCs w:val="22"/>
        </w:rPr>
        <w:t xml:space="preserve"> of agencies completing their annual risk assessment plan.  This was driven by ISO services agencies completing nearly 100% of their agencies risk assessment plans. CSRM recommends agencies </w:t>
      </w:r>
      <w:r w:rsidR="00B9795B">
        <w:rPr>
          <w:rFonts w:ascii="Verdana" w:hAnsi="Verdana"/>
          <w:sz w:val="22"/>
          <w:szCs w:val="22"/>
        </w:rPr>
        <w:t>that</w:t>
      </w:r>
      <w:r w:rsidR="00E5207C">
        <w:rPr>
          <w:rFonts w:ascii="Verdana" w:hAnsi="Verdana"/>
          <w:sz w:val="22"/>
          <w:szCs w:val="22"/>
        </w:rPr>
        <w:t xml:space="preserve"> are unable to complete the required risk assessment plans seek assistance from VITA centralized services to ensure their risk assessment plans are developed and implemented.</w:t>
      </w:r>
    </w:p>
    <w:p w14:paraId="6699BB59" w14:textId="5949070B" w:rsidR="00B47456" w:rsidRDefault="00B47456" w:rsidP="00FF5CF5">
      <w:pPr>
        <w:pStyle w:val="Default"/>
        <w:rPr>
          <w:rFonts w:ascii="Verdana" w:hAnsi="Verdana"/>
          <w:b/>
          <w:sz w:val="22"/>
          <w:szCs w:val="22"/>
          <w:highlight w:val="yellow"/>
        </w:rPr>
      </w:pPr>
    </w:p>
    <w:p w14:paraId="61A01F83" w14:textId="6B3599F5" w:rsidR="00B47456" w:rsidRDefault="00E5207C" w:rsidP="00FF5CF5">
      <w:pPr>
        <w:pStyle w:val="Default"/>
        <w:rPr>
          <w:rFonts w:ascii="Verdana" w:hAnsi="Verdana"/>
          <w:b/>
          <w:sz w:val="22"/>
          <w:szCs w:val="22"/>
          <w:highlight w:val="yellow"/>
        </w:rPr>
      </w:pPr>
      <w:r w:rsidRPr="005F76CC">
        <w:rPr>
          <w:rFonts w:ascii="Verdana" w:hAnsi="Verdana"/>
          <w:bCs/>
          <w:noProof/>
          <w:sz w:val="22"/>
          <w:szCs w:val="22"/>
        </w:rPr>
        <mc:AlternateContent>
          <mc:Choice Requires="wps">
            <w:drawing>
              <wp:anchor distT="0" distB="0" distL="114300" distR="114300" simplePos="0" relativeHeight="251802624" behindDoc="1" locked="0" layoutInCell="1" allowOverlap="1" wp14:anchorId="4B395F38" wp14:editId="3F72EBCD">
                <wp:simplePos x="0" y="0"/>
                <wp:positionH relativeFrom="column">
                  <wp:posOffset>4025900</wp:posOffset>
                </wp:positionH>
                <wp:positionV relativeFrom="paragraph">
                  <wp:posOffset>1282700</wp:posOffset>
                </wp:positionV>
                <wp:extent cx="2038350" cy="245745"/>
                <wp:effectExtent l="0" t="0" r="0" b="0"/>
                <wp:wrapNone/>
                <wp:docPr id="69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A6102" w14:textId="0079893D" w:rsidR="004B53EA" w:rsidRDefault="004B53EA" w:rsidP="00E5207C">
                            <w:pPr>
                              <w:jc w:val="center"/>
                              <w:rPr>
                                <w:rFonts w:ascii="Verdana" w:hAnsi="Verdana"/>
                                <w:b/>
                                <w:sz w:val="20"/>
                                <w:szCs w:val="20"/>
                              </w:rPr>
                            </w:pPr>
                            <w:r>
                              <w:rPr>
                                <w:rFonts w:ascii="Verdana" w:hAnsi="Verdana"/>
                                <w:b/>
                                <w:sz w:val="20"/>
                                <w:szCs w:val="20"/>
                              </w:rPr>
                              <w:t xml:space="preserve">Risk assessment plan </w:t>
                            </w:r>
                          </w:p>
                          <w:p w14:paraId="40C73FDE" w14:textId="6B5D052E" w:rsidR="004B53EA" w:rsidRDefault="004B53EA" w:rsidP="00E5207C">
                            <w:pPr>
                              <w:jc w:val="center"/>
                              <w:rPr>
                                <w:rFonts w:ascii="Verdana" w:hAnsi="Verdana"/>
                                <w:b/>
                                <w:sz w:val="20"/>
                                <w:szCs w:val="20"/>
                              </w:rPr>
                            </w:pPr>
                            <w:r>
                              <w:rPr>
                                <w:rFonts w:ascii="Verdana" w:hAnsi="Verdana"/>
                                <w:b/>
                                <w:sz w:val="20"/>
                                <w:szCs w:val="20"/>
                              </w:rPr>
                              <w:t>submissions increased by 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17pt;margin-top:101pt;width:160.5pt;height:19.35pt;z-index:-251513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3yWuQIAAMM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" filled="f" stroked="f">
                <v:textbox style="mso-fit-shape-to-text:t">
                  <w:txbxContent>
                    <w:p w14:paraId="7A3A6102" w14:textId="0079893D" w:rsidR="004B53EA" w:rsidRDefault="004B53EA" w:rsidP="00E5207C">
                      <w:pPr>
                        <w:jc w:val="center"/>
                        <w:rPr>
                          <w:rFonts w:ascii="Verdana" w:hAnsi="Verdana"/>
                          <w:b/>
                          <w:sz w:val="20"/>
                          <w:szCs w:val="20"/>
                        </w:rPr>
                      </w:pPr>
                      <w:r>
                        <w:rPr>
                          <w:rFonts w:ascii="Verdana" w:hAnsi="Verdana"/>
                          <w:b/>
                          <w:sz w:val="20"/>
                          <w:szCs w:val="20"/>
                        </w:rPr>
                        <w:t xml:space="preserve">Risk assessment plan </w:t>
                      </w:r>
                    </w:p>
                    <w:p w14:paraId="40C73FDE" w14:textId="6B5D052E" w:rsidR="004B53EA" w:rsidRDefault="004B53EA" w:rsidP="00E5207C">
                      <w:pPr>
                        <w:jc w:val="center"/>
                        <w:rPr>
                          <w:rFonts w:ascii="Verdana" w:hAnsi="Verdana"/>
                          <w:b/>
                          <w:sz w:val="20"/>
                          <w:szCs w:val="20"/>
                        </w:rPr>
                      </w:pPr>
                      <w:r>
                        <w:rPr>
                          <w:rFonts w:ascii="Verdana" w:hAnsi="Verdana"/>
                          <w:b/>
                          <w:sz w:val="20"/>
                          <w:szCs w:val="20"/>
                        </w:rPr>
                        <w:t>submissions increased by 8%</w:t>
                      </w:r>
                    </w:p>
                  </w:txbxContent>
                </v:textbox>
              </v:shape>
            </w:pict>
          </mc:Fallback>
        </mc:AlternateContent>
      </w:r>
      <w:r w:rsidRPr="005F76CC">
        <w:rPr>
          <w:rFonts w:ascii="Verdana" w:hAnsi="Verdana"/>
          <w:bCs/>
          <w:noProof/>
          <w:color w:val="00B050"/>
          <w:sz w:val="22"/>
          <w:szCs w:val="22"/>
        </w:rPr>
        <mc:AlternateContent>
          <mc:Choice Requires="wps">
            <w:drawing>
              <wp:anchor distT="0" distB="0" distL="114300" distR="114300" simplePos="0" relativeHeight="251800576" behindDoc="1" locked="0" layoutInCell="1" allowOverlap="1" wp14:anchorId="757FAACE" wp14:editId="7DC48170">
                <wp:simplePos x="0" y="0"/>
                <wp:positionH relativeFrom="column">
                  <wp:posOffset>4653280</wp:posOffset>
                </wp:positionH>
                <wp:positionV relativeFrom="paragraph">
                  <wp:posOffset>225425</wp:posOffset>
                </wp:positionV>
                <wp:extent cx="593090" cy="741680"/>
                <wp:effectExtent l="19050" t="19050" r="35560" b="20320"/>
                <wp:wrapNone/>
                <wp:docPr id="697" name="Up Arrow 7"/>
                <wp:cNvGraphicFramePr/>
                <a:graphic xmlns:a="http://schemas.openxmlformats.org/drawingml/2006/main">
                  <a:graphicData uri="http://schemas.microsoft.com/office/word/2010/wordprocessingShape">
                    <wps:wsp>
                      <wps:cNvSpPr/>
                      <wps:spPr>
                        <a:xfrm>
                          <a:off x="0" y="0"/>
                          <a:ext cx="593090" cy="741680"/>
                        </a:xfrm>
                        <a:prstGeom prst="upArrow">
                          <a:avLst/>
                        </a:prstGeom>
                        <a:solidFill>
                          <a:srgbClr val="00B050"/>
                        </a:solidFill>
                        <a:ln>
                          <a:solidFill>
                            <a:srgbClr val="00B050"/>
                          </a:solidFill>
                        </a:ln>
                        <a:effectLst/>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4FAD8A5" id="Up Arrow 7" o:spid="_x0000_s1026" type="#_x0000_t68" style="position:absolute;margin-left:366.4pt;margin-top:17.75pt;width:46.7pt;height:58.4pt;z-index:-251515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" adj="8636" fillcolor="#00b050" strokecolor="#00b050" strokeweight="2pt"/>
            </w:pict>
          </mc:Fallback>
        </mc:AlternateContent>
      </w:r>
      <w:r w:rsidR="00B47456">
        <w:rPr>
          <w:noProof/>
        </w:rPr>
        <w:drawing>
          <wp:inline distT="0" distB="0" distL="0" distR="0" wp14:anchorId="74F8A5D0" wp14:editId="02603236">
            <wp:extent cx="3550023" cy="2183803"/>
            <wp:effectExtent l="0" t="0" r="0" b="6985"/>
            <wp:docPr id="683" name="Chart 6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93EE671" w14:textId="77777777" w:rsidR="00B5328D" w:rsidRDefault="00B5328D" w:rsidP="00FF5CF5">
      <w:pPr>
        <w:pStyle w:val="Default"/>
        <w:rPr>
          <w:rFonts w:ascii="Verdana" w:hAnsi="Verdana"/>
          <w:b/>
          <w:sz w:val="22"/>
          <w:szCs w:val="22"/>
          <w:highlight w:val="yellow"/>
        </w:rPr>
      </w:pPr>
    </w:p>
    <w:p w14:paraId="7060533B" w14:textId="77777777" w:rsidR="00B5328D" w:rsidRDefault="00B5328D" w:rsidP="00FF5CF5">
      <w:pPr>
        <w:pStyle w:val="Default"/>
        <w:rPr>
          <w:rFonts w:ascii="Verdana" w:hAnsi="Verdana"/>
          <w:b/>
          <w:sz w:val="22"/>
          <w:szCs w:val="22"/>
          <w:highlight w:val="yellow"/>
        </w:rPr>
      </w:pPr>
    </w:p>
    <w:p w14:paraId="02A5919F" w14:textId="293DD3FC" w:rsidR="009C031D" w:rsidRPr="003B60CC" w:rsidRDefault="000B750B" w:rsidP="00FF5CF5">
      <w:pPr>
        <w:pStyle w:val="Default"/>
        <w:rPr>
          <w:rFonts w:ascii="Verdana" w:hAnsi="Verdana"/>
          <w:sz w:val="22"/>
          <w:szCs w:val="22"/>
        </w:rPr>
      </w:pPr>
      <w:r w:rsidRPr="003B60CC">
        <w:rPr>
          <w:rFonts w:ascii="Verdana" w:hAnsi="Verdana"/>
          <w:b/>
          <w:sz w:val="22"/>
          <w:szCs w:val="22"/>
        </w:rPr>
        <w:t>Three</w:t>
      </w:r>
      <w:r w:rsidR="003C76D0">
        <w:rPr>
          <w:rFonts w:ascii="Verdana" w:hAnsi="Verdana"/>
          <w:b/>
          <w:sz w:val="22"/>
          <w:szCs w:val="22"/>
        </w:rPr>
        <w:t>-</w:t>
      </w:r>
      <w:r w:rsidRPr="003B60CC">
        <w:rPr>
          <w:rFonts w:ascii="Verdana" w:hAnsi="Verdana"/>
          <w:b/>
          <w:sz w:val="22"/>
          <w:szCs w:val="22"/>
        </w:rPr>
        <w:t>year risk assessment obligation compliance has improved; however, m</w:t>
      </w:r>
      <w:r w:rsidR="00DC6E5D" w:rsidRPr="003B60CC">
        <w:rPr>
          <w:rFonts w:ascii="Verdana" w:hAnsi="Verdana"/>
          <w:b/>
          <w:sz w:val="22"/>
          <w:szCs w:val="22"/>
        </w:rPr>
        <w:t xml:space="preserve">ost agencies </w:t>
      </w:r>
      <w:r w:rsidRPr="003B60CC">
        <w:rPr>
          <w:rFonts w:ascii="Verdana" w:hAnsi="Verdana"/>
          <w:b/>
          <w:sz w:val="22"/>
          <w:szCs w:val="22"/>
        </w:rPr>
        <w:t>still have not met this obligation.</w:t>
      </w:r>
      <w:r w:rsidR="00E5207C">
        <w:rPr>
          <w:rFonts w:ascii="Verdana" w:hAnsi="Verdana"/>
          <w:b/>
          <w:sz w:val="22"/>
          <w:szCs w:val="22"/>
        </w:rPr>
        <w:t xml:space="preserve"> </w:t>
      </w:r>
      <w:r w:rsidRPr="003B60CC">
        <w:rPr>
          <w:rFonts w:ascii="Verdana" w:hAnsi="Verdana"/>
          <w:sz w:val="22"/>
          <w:szCs w:val="22"/>
        </w:rPr>
        <w:t>A</w:t>
      </w:r>
      <w:r w:rsidR="00FF5CF5" w:rsidRPr="003B60CC">
        <w:rPr>
          <w:rFonts w:ascii="Verdana" w:hAnsi="Verdana"/>
          <w:sz w:val="22"/>
          <w:szCs w:val="22"/>
        </w:rPr>
        <w:t>genc</w:t>
      </w:r>
      <w:r w:rsidRPr="003B60CC">
        <w:rPr>
          <w:rFonts w:ascii="Verdana" w:hAnsi="Verdana"/>
          <w:sz w:val="22"/>
          <w:szCs w:val="22"/>
        </w:rPr>
        <w:t xml:space="preserve">ies are </w:t>
      </w:r>
      <w:r w:rsidR="00FF5CF5" w:rsidRPr="003B60CC">
        <w:rPr>
          <w:rFonts w:ascii="Verdana" w:hAnsi="Verdana"/>
          <w:sz w:val="22"/>
          <w:szCs w:val="22"/>
        </w:rPr>
        <w:t xml:space="preserve">required </w:t>
      </w:r>
      <w:r w:rsidR="001A64C7" w:rsidRPr="003B60CC">
        <w:rPr>
          <w:rFonts w:ascii="Verdana" w:hAnsi="Verdana"/>
          <w:sz w:val="22"/>
          <w:szCs w:val="22"/>
        </w:rPr>
        <w:t>by SEC52</w:t>
      </w:r>
      <w:r w:rsidR="00DA0E4F" w:rsidRPr="003B60CC">
        <w:rPr>
          <w:rFonts w:ascii="Verdana" w:hAnsi="Verdana"/>
          <w:sz w:val="22"/>
          <w:szCs w:val="22"/>
        </w:rPr>
        <w:t>0</w:t>
      </w:r>
      <w:r w:rsidR="001A64C7" w:rsidRPr="003B60CC">
        <w:rPr>
          <w:i/>
          <w:iCs/>
          <w:sz w:val="18"/>
          <w:szCs w:val="18"/>
        </w:rPr>
        <w:t xml:space="preserve"> </w:t>
      </w:r>
      <w:r w:rsidR="00FF5CF5" w:rsidRPr="003B60CC">
        <w:rPr>
          <w:rFonts w:ascii="Verdana" w:hAnsi="Verdana"/>
          <w:sz w:val="22"/>
          <w:szCs w:val="22"/>
        </w:rPr>
        <w:t xml:space="preserve">to </w:t>
      </w:r>
      <w:r w:rsidRPr="003B60CC">
        <w:rPr>
          <w:rFonts w:ascii="Verdana" w:hAnsi="Verdana"/>
          <w:sz w:val="22"/>
          <w:szCs w:val="22"/>
        </w:rPr>
        <w:t>review their</w:t>
      </w:r>
      <w:r w:rsidR="00FF5CF5" w:rsidRPr="003B60CC">
        <w:rPr>
          <w:rFonts w:ascii="Verdana" w:hAnsi="Verdana"/>
          <w:sz w:val="22"/>
          <w:szCs w:val="22"/>
        </w:rPr>
        <w:t xml:space="preserve"> risk assessment plan</w:t>
      </w:r>
      <w:r w:rsidRPr="003B60CC">
        <w:rPr>
          <w:rFonts w:ascii="Verdana" w:hAnsi="Verdana"/>
          <w:sz w:val="22"/>
          <w:szCs w:val="22"/>
        </w:rPr>
        <w:t>s</w:t>
      </w:r>
      <w:r w:rsidR="00FF5CF5" w:rsidRPr="003B60CC">
        <w:rPr>
          <w:rFonts w:ascii="Verdana" w:hAnsi="Verdana"/>
          <w:sz w:val="22"/>
          <w:szCs w:val="22"/>
        </w:rPr>
        <w:t xml:space="preserve"> for the IT systems for which </w:t>
      </w:r>
      <w:r w:rsidR="00690D84" w:rsidRPr="003B60CC">
        <w:rPr>
          <w:rFonts w:ascii="Verdana" w:hAnsi="Verdana"/>
          <w:sz w:val="22"/>
          <w:szCs w:val="22"/>
        </w:rPr>
        <w:t>they are</w:t>
      </w:r>
      <w:r w:rsidR="00FF5CF5" w:rsidRPr="003B60CC">
        <w:rPr>
          <w:rFonts w:ascii="Verdana" w:hAnsi="Verdana"/>
          <w:sz w:val="22"/>
          <w:szCs w:val="22"/>
        </w:rPr>
        <w:t xml:space="preserve"> the </w:t>
      </w:r>
      <w:r w:rsidR="004073FA" w:rsidRPr="003B60CC">
        <w:rPr>
          <w:rFonts w:ascii="Verdana" w:hAnsi="Verdana"/>
          <w:sz w:val="22"/>
          <w:szCs w:val="22"/>
        </w:rPr>
        <w:t>d</w:t>
      </w:r>
      <w:r w:rsidR="00FF5CF5" w:rsidRPr="003B60CC">
        <w:rPr>
          <w:rFonts w:ascii="Verdana" w:hAnsi="Verdana"/>
          <w:sz w:val="22"/>
          <w:szCs w:val="22"/>
        </w:rPr>
        <w:t xml:space="preserve">ata </w:t>
      </w:r>
      <w:r w:rsidR="004073FA" w:rsidRPr="003B60CC">
        <w:rPr>
          <w:rFonts w:ascii="Verdana" w:hAnsi="Verdana"/>
          <w:sz w:val="22"/>
          <w:szCs w:val="22"/>
        </w:rPr>
        <w:t>o</w:t>
      </w:r>
      <w:r w:rsidR="00FF5CF5" w:rsidRPr="003B60CC">
        <w:rPr>
          <w:rFonts w:ascii="Verdana" w:hAnsi="Verdana"/>
          <w:sz w:val="22"/>
          <w:szCs w:val="22"/>
        </w:rPr>
        <w:t xml:space="preserve">wner on </w:t>
      </w:r>
      <w:r w:rsidR="004073FA" w:rsidRPr="003B60CC">
        <w:rPr>
          <w:rFonts w:ascii="Verdana" w:hAnsi="Verdana"/>
          <w:sz w:val="22"/>
          <w:szCs w:val="22"/>
        </w:rPr>
        <w:t xml:space="preserve">an </w:t>
      </w:r>
      <w:r w:rsidR="00FF5CF5" w:rsidRPr="003B60CC">
        <w:rPr>
          <w:rFonts w:ascii="Verdana" w:hAnsi="Verdana"/>
          <w:sz w:val="22"/>
          <w:szCs w:val="22"/>
        </w:rPr>
        <w:t>annual basis. The r</w:t>
      </w:r>
      <w:r w:rsidR="00990425" w:rsidRPr="003B60CC">
        <w:rPr>
          <w:rFonts w:ascii="Verdana" w:hAnsi="Verdana"/>
          <w:sz w:val="22"/>
          <w:szCs w:val="22"/>
        </w:rPr>
        <w:t>isk assessment is the</w:t>
      </w:r>
      <w:r w:rsidR="00990425" w:rsidRPr="003B60CC">
        <w:rPr>
          <w:rFonts w:ascii="Verdana" w:hAnsi="Verdana"/>
          <w:iCs/>
          <w:sz w:val="22"/>
          <w:szCs w:val="22"/>
        </w:rPr>
        <w:t xml:space="preserve"> process of identifying vulnerabilities, threats, likelihood of occurrence and potential loss or impact.</w:t>
      </w:r>
      <w:r w:rsidR="00990425" w:rsidRPr="003B60CC">
        <w:rPr>
          <w:rFonts w:ascii="Verdana" w:hAnsi="Verdana"/>
          <w:sz w:val="22"/>
          <w:szCs w:val="22"/>
        </w:rPr>
        <w:t xml:space="preserve"> </w:t>
      </w:r>
      <w:r w:rsidR="00DC6E5D" w:rsidRPr="003B60CC">
        <w:rPr>
          <w:rFonts w:ascii="Verdana" w:hAnsi="Verdana"/>
          <w:sz w:val="22"/>
          <w:szCs w:val="22"/>
        </w:rPr>
        <w:t>There were 26 agencies (34</w:t>
      </w:r>
      <w:r w:rsidR="003C76D0">
        <w:rPr>
          <w:rFonts w:ascii="Verdana" w:hAnsi="Verdana"/>
          <w:sz w:val="22"/>
          <w:szCs w:val="22"/>
        </w:rPr>
        <w:t>%</w:t>
      </w:r>
      <w:r w:rsidR="00DC6E5D" w:rsidRPr="003B60CC">
        <w:rPr>
          <w:rFonts w:ascii="Verdana" w:hAnsi="Verdana"/>
          <w:sz w:val="22"/>
          <w:szCs w:val="22"/>
        </w:rPr>
        <w:t xml:space="preserve">) </w:t>
      </w:r>
      <w:r w:rsidR="00790265" w:rsidRPr="003B60CC">
        <w:rPr>
          <w:rFonts w:ascii="Verdana" w:hAnsi="Verdana"/>
          <w:sz w:val="22"/>
          <w:szCs w:val="22"/>
        </w:rPr>
        <w:t xml:space="preserve">that </w:t>
      </w:r>
      <w:r w:rsidR="00DC6E5D" w:rsidRPr="003B60CC">
        <w:rPr>
          <w:rFonts w:ascii="Verdana" w:hAnsi="Verdana"/>
          <w:sz w:val="22"/>
          <w:szCs w:val="22"/>
        </w:rPr>
        <w:t xml:space="preserve">provided complete risk assessment information. </w:t>
      </w:r>
      <w:r w:rsidR="00990425" w:rsidRPr="003B60CC">
        <w:rPr>
          <w:rFonts w:ascii="Verdana" w:hAnsi="Verdana"/>
          <w:sz w:val="22"/>
          <w:szCs w:val="22"/>
        </w:rPr>
        <w:t xml:space="preserve">Of the </w:t>
      </w:r>
      <w:r w:rsidR="004F4AE7" w:rsidRPr="003B60CC">
        <w:rPr>
          <w:rFonts w:ascii="Verdana" w:hAnsi="Verdana"/>
          <w:sz w:val="22"/>
          <w:szCs w:val="22"/>
        </w:rPr>
        <w:t>77</w:t>
      </w:r>
      <w:r w:rsidR="00705818" w:rsidRPr="003B60CC">
        <w:rPr>
          <w:rFonts w:ascii="Verdana" w:hAnsi="Verdana"/>
          <w:sz w:val="22"/>
          <w:szCs w:val="22"/>
        </w:rPr>
        <w:t xml:space="preserve"> </w:t>
      </w:r>
      <w:r w:rsidR="00990425" w:rsidRPr="003B60CC">
        <w:rPr>
          <w:rFonts w:ascii="Verdana" w:hAnsi="Verdana"/>
          <w:sz w:val="22"/>
          <w:szCs w:val="22"/>
        </w:rPr>
        <w:t xml:space="preserve">agencies, </w:t>
      </w:r>
      <w:r w:rsidR="00DC6E5D" w:rsidRPr="003B60CC">
        <w:rPr>
          <w:rFonts w:ascii="Verdana" w:hAnsi="Verdana"/>
          <w:sz w:val="22"/>
          <w:szCs w:val="22"/>
        </w:rPr>
        <w:t>51</w:t>
      </w:r>
      <w:r w:rsidR="00E841E4" w:rsidRPr="003B60CC">
        <w:rPr>
          <w:rFonts w:ascii="Verdana" w:hAnsi="Verdana"/>
          <w:sz w:val="22"/>
          <w:szCs w:val="22"/>
        </w:rPr>
        <w:t xml:space="preserve"> agencies (</w:t>
      </w:r>
      <w:r w:rsidR="00DC6E5D" w:rsidRPr="003B60CC">
        <w:rPr>
          <w:rFonts w:ascii="Verdana" w:hAnsi="Verdana"/>
          <w:sz w:val="22"/>
          <w:szCs w:val="22"/>
        </w:rPr>
        <w:t>66</w:t>
      </w:r>
      <w:r w:rsidR="003C76D0">
        <w:rPr>
          <w:rFonts w:ascii="Verdana" w:hAnsi="Verdana"/>
          <w:sz w:val="22"/>
          <w:szCs w:val="22"/>
        </w:rPr>
        <w:t>%</w:t>
      </w:r>
      <w:r w:rsidR="00E841E4" w:rsidRPr="003B60CC">
        <w:rPr>
          <w:rFonts w:ascii="Verdana" w:hAnsi="Verdana"/>
          <w:sz w:val="22"/>
          <w:szCs w:val="22"/>
        </w:rPr>
        <w:t xml:space="preserve">) </w:t>
      </w:r>
      <w:r w:rsidR="00387AA0" w:rsidRPr="003B60CC">
        <w:rPr>
          <w:rFonts w:ascii="Verdana" w:hAnsi="Verdana"/>
          <w:sz w:val="22"/>
          <w:szCs w:val="22"/>
        </w:rPr>
        <w:t xml:space="preserve">did not fully complete the required </w:t>
      </w:r>
      <w:r w:rsidR="00E841E4" w:rsidRPr="003B60CC">
        <w:rPr>
          <w:rFonts w:ascii="Verdana" w:hAnsi="Verdana"/>
          <w:sz w:val="22"/>
          <w:szCs w:val="22"/>
        </w:rPr>
        <w:t xml:space="preserve">risk assessment information.  </w:t>
      </w:r>
    </w:p>
    <w:p w14:paraId="60F85645" w14:textId="77777777" w:rsidR="00E52079" w:rsidRPr="00377362" w:rsidRDefault="00E52079" w:rsidP="00FF5CF5">
      <w:pPr>
        <w:pStyle w:val="Default"/>
        <w:rPr>
          <w:rFonts w:ascii="Verdana" w:hAnsi="Verdana"/>
          <w:sz w:val="22"/>
          <w:szCs w:val="22"/>
          <w:highlight w:val="yellow"/>
        </w:rPr>
      </w:pPr>
    </w:p>
    <w:p w14:paraId="32128F3D" w14:textId="2405A3C4" w:rsidR="00E52079" w:rsidRPr="003B60CC" w:rsidRDefault="003C76D0" w:rsidP="00FF5CF5">
      <w:pPr>
        <w:pStyle w:val="Default"/>
        <w:rPr>
          <w:rFonts w:ascii="Verdana" w:hAnsi="Verdana"/>
          <w:sz w:val="22"/>
          <w:szCs w:val="22"/>
        </w:rPr>
      </w:pPr>
      <w:r w:rsidRPr="003B60CC">
        <w:rPr>
          <w:rFonts w:ascii="Verdana" w:hAnsi="Verdana"/>
          <w:bCs/>
          <w:noProof/>
          <w:sz w:val="22"/>
          <w:szCs w:val="22"/>
        </w:rPr>
        <mc:AlternateContent>
          <mc:Choice Requires="wps">
            <w:drawing>
              <wp:anchor distT="0" distB="0" distL="114300" distR="114300" simplePos="0" relativeHeight="251770880" behindDoc="1" locked="0" layoutInCell="1" allowOverlap="1" wp14:anchorId="68A731A6" wp14:editId="5AB91CED">
                <wp:simplePos x="0" y="0"/>
                <wp:positionH relativeFrom="column">
                  <wp:posOffset>4027335</wp:posOffset>
                </wp:positionH>
                <wp:positionV relativeFrom="paragraph">
                  <wp:posOffset>1401749</wp:posOffset>
                </wp:positionV>
                <wp:extent cx="2115047" cy="245745"/>
                <wp:effectExtent l="0" t="0" r="0" b="0"/>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047"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6CA7" w14:textId="6FEB207E" w:rsidR="004B53EA" w:rsidRDefault="004B53EA" w:rsidP="00E52079">
                            <w:pPr>
                              <w:jc w:val="center"/>
                              <w:rPr>
                                <w:rFonts w:ascii="Verdana" w:hAnsi="Verdana"/>
                                <w:b/>
                                <w:sz w:val="20"/>
                                <w:szCs w:val="20"/>
                              </w:rPr>
                            </w:pPr>
                            <w:r>
                              <w:rPr>
                                <w:rFonts w:ascii="Verdana" w:hAnsi="Verdana"/>
                                <w:b/>
                                <w:sz w:val="20"/>
                                <w:szCs w:val="20"/>
                              </w:rPr>
                              <w:t>Three-year risk assessment obligation increased by 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17.1pt;margin-top:110.35pt;width:166.55pt;height:19.35pt;z-index:-251545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ASuAIAAMI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" filled="f" stroked="f">
                <v:textbox style="mso-fit-shape-to-text:t">
                  <w:txbxContent>
                    <w:p w14:paraId="405D6CA7" w14:textId="6FEB207E" w:rsidR="004B53EA" w:rsidRDefault="004B53EA" w:rsidP="00E52079">
                      <w:pPr>
                        <w:jc w:val="center"/>
                        <w:rPr>
                          <w:rFonts w:ascii="Verdana" w:hAnsi="Verdana"/>
                          <w:b/>
                          <w:sz w:val="20"/>
                          <w:szCs w:val="20"/>
                        </w:rPr>
                      </w:pPr>
                      <w:r>
                        <w:rPr>
                          <w:rFonts w:ascii="Verdana" w:hAnsi="Verdana"/>
                          <w:b/>
                          <w:sz w:val="20"/>
                          <w:szCs w:val="20"/>
                        </w:rPr>
                        <w:t>Three-year risk assessment obligation increased by 11%</w:t>
                      </w:r>
                    </w:p>
                  </w:txbxContent>
                </v:textbox>
              </v:shape>
            </w:pict>
          </mc:Fallback>
        </mc:AlternateContent>
      </w:r>
      <w:r w:rsidR="008500DF" w:rsidRPr="003B60CC">
        <w:rPr>
          <w:rFonts w:ascii="Verdana" w:hAnsi="Verdana"/>
          <w:bCs/>
          <w:noProof/>
          <w:color w:val="00B050"/>
          <w:sz w:val="22"/>
          <w:szCs w:val="22"/>
        </w:rPr>
        <mc:AlternateContent>
          <mc:Choice Requires="wps">
            <w:drawing>
              <wp:anchor distT="0" distB="0" distL="114300" distR="114300" simplePos="0" relativeHeight="251768832" behindDoc="1" locked="0" layoutInCell="1" allowOverlap="1" wp14:anchorId="1A6678BA" wp14:editId="395B6F79">
                <wp:simplePos x="0" y="0"/>
                <wp:positionH relativeFrom="column">
                  <wp:posOffset>4767580</wp:posOffset>
                </wp:positionH>
                <wp:positionV relativeFrom="paragraph">
                  <wp:posOffset>333375</wp:posOffset>
                </wp:positionV>
                <wp:extent cx="593090" cy="741680"/>
                <wp:effectExtent l="19050" t="19050" r="35560" b="20320"/>
                <wp:wrapNone/>
                <wp:docPr id="45" name="Up Arrow 7"/>
                <wp:cNvGraphicFramePr/>
                <a:graphic xmlns:a="http://schemas.openxmlformats.org/drawingml/2006/main">
                  <a:graphicData uri="http://schemas.microsoft.com/office/word/2010/wordprocessingShape">
                    <wps:wsp>
                      <wps:cNvSpPr/>
                      <wps:spPr>
                        <a:xfrm>
                          <a:off x="0" y="0"/>
                          <a:ext cx="593090" cy="741680"/>
                        </a:xfrm>
                        <a:prstGeom prst="upArrow">
                          <a:avLst/>
                        </a:prstGeom>
                        <a:solidFill>
                          <a:srgbClr val="00B050"/>
                        </a:solidFill>
                        <a:ln>
                          <a:solidFill>
                            <a:srgbClr val="00B05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CF150C" w14:textId="77777777" w:rsidR="004B53EA" w:rsidRDefault="004B53EA" w:rsidP="00F7396C">
                            <w:pPr>
                              <w:shd w:val="clear" w:color="auto" w:fill="00B050"/>
                              <w:jc w:val="center"/>
                            </w:pPr>
                          </w:p>
                        </w:txbxContent>
                      </wps:txbx>
                      <wps:bodyPr vertOverflow="clip" rtlCol="0" anchor="ctr"/>
                    </wps:wsp>
                  </a:graphicData>
                </a:graphic>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36" type="#_x0000_t68" style="position:absolute;margin-left:375.4pt;margin-top:26.25pt;width:46.7pt;height:58.4pt;z-index:-25154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" adj="8636" fillcolor="#00b050" strokecolor="#00b050" strokeweight="2pt">
                <v:textbox>
                  <w:txbxContent>
                    <w:p w14:paraId="38CF150C" w14:textId="77777777" w:rsidR="004B53EA" w:rsidRDefault="004B53EA" w:rsidP="00F7396C">
                      <w:pPr>
                        <w:shd w:val="clear" w:color="auto" w:fill="00B050"/>
                        <w:jc w:val="center"/>
                      </w:pPr>
                    </w:p>
                  </w:txbxContent>
                </v:textbox>
              </v:shape>
            </w:pict>
          </mc:Fallback>
        </mc:AlternateContent>
      </w:r>
      <w:r w:rsidR="00D761CD" w:rsidRPr="003B60CC">
        <w:rPr>
          <w:noProof/>
        </w:rPr>
        <w:t xml:space="preserve"> </w:t>
      </w:r>
      <w:r w:rsidR="00F7396C" w:rsidRPr="007F3318">
        <w:rPr>
          <w:noProof/>
        </w:rPr>
        <w:drawing>
          <wp:inline distT="0" distB="0" distL="0" distR="0" wp14:anchorId="08EB92C4" wp14:editId="546576F8">
            <wp:extent cx="4109421" cy="2248348"/>
            <wp:effectExtent l="0" t="0" r="571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F7396C" w:rsidRPr="003B60CC">
        <w:rPr>
          <w:noProof/>
        </w:rPr>
        <w:t xml:space="preserve"> </w:t>
      </w:r>
    </w:p>
    <w:p w14:paraId="0D0DE431" w14:textId="77777777" w:rsidR="002D79AA" w:rsidRPr="00377362" w:rsidRDefault="002D79AA" w:rsidP="00FF5CF5">
      <w:pPr>
        <w:pStyle w:val="Default"/>
        <w:rPr>
          <w:rFonts w:ascii="Verdana" w:hAnsi="Verdana"/>
          <w:sz w:val="22"/>
          <w:szCs w:val="22"/>
          <w:highlight w:val="yellow"/>
        </w:rPr>
      </w:pPr>
    </w:p>
    <w:p w14:paraId="5D3ED53A" w14:textId="5B22C886" w:rsidR="003B0C99" w:rsidRPr="00CC31A5" w:rsidRDefault="003A440E" w:rsidP="00915873">
      <w:pPr>
        <w:ind w:right="720"/>
        <w:rPr>
          <w:rFonts w:ascii="Verdana" w:hAnsi="Verdana"/>
          <w:b/>
          <w:sz w:val="22"/>
          <w:szCs w:val="22"/>
        </w:rPr>
      </w:pPr>
      <w:r w:rsidRPr="00F119C1">
        <w:rPr>
          <w:rFonts w:ascii="Verdana" w:hAnsi="Verdana"/>
          <w:b/>
          <w:sz w:val="22"/>
          <w:szCs w:val="22"/>
        </w:rPr>
        <w:t xml:space="preserve">The </w:t>
      </w:r>
      <w:r w:rsidR="007B2F7B" w:rsidRPr="00F119C1">
        <w:rPr>
          <w:rFonts w:ascii="Verdana" w:hAnsi="Verdana"/>
          <w:b/>
          <w:sz w:val="22"/>
          <w:szCs w:val="22"/>
        </w:rPr>
        <w:t xml:space="preserve">percentage of </w:t>
      </w:r>
      <w:r w:rsidR="00ED3327" w:rsidRPr="00F119C1">
        <w:rPr>
          <w:rFonts w:ascii="Verdana" w:hAnsi="Verdana"/>
          <w:b/>
          <w:sz w:val="22"/>
          <w:szCs w:val="22"/>
        </w:rPr>
        <w:t xml:space="preserve">certified </w:t>
      </w:r>
      <w:r w:rsidRPr="00F119C1">
        <w:rPr>
          <w:rFonts w:ascii="Verdana" w:hAnsi="Verdana"/>
          <w:b/>
          <w:sz w:val="22"/>
          <w:szCs w:val="22"/>
        </w:rPr>
        <w:t xml:space="preserve">ISO personnel working at the agencies </w:t>
      </w:r>
      <w:r w:rsidR="001D1001" w:rsidRPr="00F119C1">
        <w:rPr>
          <w:rFonts w:ascii="Verdana" w:hAnsi="Verdana"/>
          <w:b/>
          <w:sz w:val="22"/>
          <w:szCs w:val="22"/>
        </w:rPr>
        <w:t xml:space="preserve">has </w:t>
      </w:r>
      <w:r w:rsidR="00DA0E4F" w:rsidRPr="00F119C1">
        <w:rPr>
          <w:rFonts w:ascii="Verdana" w:hAnsi="Verdana"/>
          <w:b/>
          <w:sz w:val="22"/>
          <w:szCs w:val="22"/>
        </w:rPr>
        <w:t>improved.</w:t>
      </w:r>
    </w:p>
    <w:p w14:paraId="68F7D4C9" w14:textId="337A0143" w:rsidR="00915873" w:rsidRPr="00CC31A5" w:rsidRDefault="003A440E" w:rsidP="00915873">
      <w:pPr>
        <w:ind w:right="720"/>
        <w:rPr>
          <w:rFonts w:ascii="Verdana" w:hAnsi="Verdana"/>
          <w:sz w:val="22"/>
          <w:szCs w:val="22"/>
        </w:rPr>
      </w:pPr>
      <w:r w:rsidRPr="00CC31A5">
        <w:rPr>
          <w:rFonts w:ascii="Verdana" w:hAnsi="Verdana"/>
          <w:sz w:val="22"/>
          <w:szCs w:val="22"/>
        </w:rPr>
        <w:t xml:space="preserve">Certification </w:t>
      </w:r>
      <w:r w:rsidR="00BF4296" w:rsidRPr="00CC31A5">
        <w:rPr>
          <w:rFonts w:ascii="Verdana" w:hAnsi="Verdana"/>
          <w:sz w:val="22"/>
          <w:szCs w:val="22"/>
        </w:rPr>
        <w:t xml:space="preserve">is one way to provide assurance </w:t>
      </w:r>
      <w:r w:rsidRPr="00CC31A5">
        <w:rPr>
          <w:rFonts w:ascii="Verdana" w:hAnsi="Verdana"/>
          <w:sz w:val="22"/>
          <w:szCs w:val="22"/>
        </w:rPr>
        <w:t>that agency IT personnel are t</w:t>
      </w:r>
      <w:r w:rsidR="001D1001" w:rsidRPr="00CC31A5">
        <w:rPr>
          <w:rFonts w:ascii="Verdana" w:hAnsi="Verdana"/>
          <w:sz w:val="22"/>
          <w:szCs w:val="22"/>
        </w:rPr>
        <w:t xml:space="preserve">rained and </w:t>
      </w:r>
      <w:r w:rsidRPr="00CC31A5">
        <w:rPr>
          <w:rFonts w:ascii="Verdana" w:hAnsi="Verdana"/>
          <w:sz w:val="22"/>
          <w:szCs w:val="22"/>
        </w:rPr>
        <w:t xml:space="preserve">equipped to manage </w:t>
      </w:r>
      <w:r w:rsidR="007B2F7B" w:rsidRPr="00CC31A5">
        <w:rPr>
          <w:rFonts w:ascii="Verdana" w:hAnsi="Verdana"/>
          <w:sz w:val="22"/>
          <w:szCs w:val="22"/>
        </w:rPr>
        <w:t xml:space="preserve">agency </w:t>
      </w:r>
      <w:r w:rsidRPr="00CC31A5">
        <w:rPr>
          <w:rFonts w:ascii="Verdana" w:hAnsi="Verdana"/>
          <w:sz w:val="22"/>
          <w:szCs w:val="22"/>
        </w:rPr>
        <w:t xml:space="preserve">IT security programs. </w:t>
      </w:r>
      <w:r w:rsidR="001D1001" w:rsidRPr="00CC31A5">
        <w:rPr>
          <w:rFonts w:ascii="Verdana" w:hAnsi="Verdana"/>
          <w:sz w:val="22"/>
          <w:szCs w:val="22"/>
        </w:rPr>
        <w:t xml:space="preserve">The </w:t>
      </w:r>
      <w:r w:rsidR="003B0C99" w:rsidRPr="00CC31A5">
        <w:rPr>
          <w:rFonts w:ascii="Verdana" w:hAnsi="Verdana"/>
          <w:sz w:val="22"/>
          <w:szCs w:val="22"/>
        </w:rPr>
        <w:t>c</w:t>
      </w:r>
      <w:r w:rsidR="00ED3327" w:rsidRPr="00CC31A5">
        <w:rPr>
          <w:rFonts w:ascii="Verdana" w:hAnsi="Verdana"/>
          <w:sz w:val="22"/>
          <w:szCs w:val="22"/>
        </w:rPr>
        <w:t xml:space="preserve">ommonwealth </w:t>
      </w:r>
      <w:r w:rsidR="00915873" w:rsidRPr="00CC31A5">
        <w:rPr>
          <w:rFonts w:ascii="Verdana" w:hAnsi="Verdana"/>
          <w:sz w:val="22"/>
          <w:szCs w:val="22"/>
        </w:rPr>
        <w:t xml:space="preserve">ISO certification demonstrates </w:t>
      </w:r>
      <w:r w:rsidR="00BF4296" w:rsidRPr="00CC31A5">
        <w:rPr>
          <w:rFonts w:ascii="Verdana" w:hAnsi="Verdana"/>
          <w:sz w:val="22"/>
          <w:szCs w:val="22"/>
        </w:rPr>
        <w:t xml:space="preserve">that personnel have received annual </w:t>
      </w:r>
      <w:r w:rsidR="00ED3327" w:rsidRPr="00CC31A5">
        <w:rPr>
          <w:rFonts w:ascii="Verdana" w:hAnsi="Verdana"/>
          <w:sz w:val="22"/>
          <w:szCs w:val="22"/>
        </w:rPr>
        <w:t xml:space="preserve">information security </w:t>
      </w:r>
      <w:r w:rsidR="00915873" w:rsidRPr="00CC31A5">
        <w:rPr>
          <w:rFonts w:ascii="Verdana" w:hAnsi="Verdana"/>
          <w:sz w:val="22"/>
          <w:szCs w:val="22"/>
        </w:rPr>
        <w:t>training</w:t>
      </w:r>
      <w:r w:rsidR="00BF4296" w:rsidRPr="00CC31A5">
        <w:rPr>
          <w:rFonts w:ascii="Verdana" w:hAnsi="Verdana"/>
          <w:sz w:val="22"/>
          <w:szCs w:val="22"/>
        </w:rPr>
        <w:t xml:space="preserve"> and have some </w:t>
      </w:r>
      <w:r w:rsidR="00915873" w:rsidRPr="00CC31A5">
        <w:rPr>
          <w:rFonts w:ascii="Verdana" w:hAnsi="Verdana"/>
          <w:sz w:val="22"/>
          <w:szCs w:val="22"/>
        </w:rPr>
        <w:t>knowledge of commonwealth information security practices.</w:t>
      </w:r>
      <w:r w:rsidR="00646F52">
        <w:rPr>
          <w:rFonts w:ascii="Verdana" w:hAnsi="Verdana"/>
          <w:sz w:val="22"/>
          <w:szCs w:val="22"/>
        </w:rPr>
        <w:t xml:space="preserve"> Upcoming changes to policy will also require ISO’s to report directly to</w:t>
      </w:r>
      <w:r w:rsidR="00DB12F2">
        <w:rPr>
          <w:rFonts w:ascii="Verdana" w:hAnsi="Verdana"/>
          <w:sz w:val="22"/>
          <w:szCs w:val="22"/>
        </w:rPr>
        <w:t xml:space="preserve"> the </w:t>
      </w:r>
      <w:r w:rsidR="003C76D0">
        <w:rPr>
          <w:rFonts w:ascii="Verdana" w:hAnsi="Verdana"/>
          <w:sz w:val="22"/>
          <w:szCs w:val="22"/>
        </w:rPr>
        <w:t>a</w:t>
      </w:r>
      <w:r w:rsidR="00DB12F2">
        <w:rPr>
          <w:rFonts w:ascii="Verdana" w:hAnsi="Verdana"/>
          <w:sz w:val="22"/>
          <w:szCs w:val="22"/>
        </w:rPr>
        <w:t xml:space="preserve">gency </w:t>
      </w:r>
      <w:r w:rsidR="003C76D0">
        <w:rPr>
          <w:rFonts w:ascii="Verdana" w:hAnsi="Verdana"/>
          <w:sz w:val="22"/>
          <w:szCs w:val="22"/>
        </w:rPr>
        <w:t>h</w:t>
      </w:r>
      <w:r w:rsidR="00DB12F2">
        <w:rPr>
          <w:rFonts w:ascii="Verdana" w:hAnsi="Verdana"/>
          <w:sz w:val="22"/>
          <w:szCs w:val="22"/>
        </w:rPr>
        <w:t xml:space="preserve">ead </w:t>
      </w:r>
      <w:r w:rsidR="003252CA">
        <w:rPr>
          <w:rFonts w:ascii="Verdana" w:hAnsi="Verdana"/>
          <w:sz w:val="22"/>
          <w:szCs w:val="22"/>
        </w:rPr>
        <w:t>reinforcing</w:t>
      </w:r>
      <w:r w:rsidR="006C4F2B">
        <w:rPr>
          <w:rFonts w:ascii="Verdana" w:hAnsi="Verdana"/>
          <w:sz w:val="22"/>
          <w:szCs w:val="22"/>
        </w:rPr>
        <w:t xml:space="preserve"> </w:t>
      </w:r>
      <w:r w:rsidR="003252CA">
        <w:rPr>
          <w:rFonts w:ascii="Verdana" w:hAnsi="Verdana"/>
          <w:sz w:val="22"/>
          <w:szCs w:val="22"/>
        </w:rPr>
        <w:t xml:space="preserve">ISO independence and </w:t>
      </w:r>
      <w:r w:rsidR="006C4F2B">
        <w:rPr>
          <w:rFonts w:ascii="Verdana" w:hAnsi="Verdana"/>
          <w:sz w:val="22"/>
          <w:szCs w:val="22"/>
        </w:rPr>
        <w:t xml:space="preserve">the </w:t>
      </w:r>
      <w:r w:rsidR="003252CA">
        <w:rPr>
          <w:rFonts w:ascii="Verdana" w:hAnsi="Verdana"/>
          <w:sz w:val="22"/>
          <w:szCs w:val="22"/>
        </w:rPr>
        <w:t>critical</w:t>
      </w:r>
      <w:r w:rsidR="006C4F2B">
        <w:rPr>
          <w:rFonts w:ascii="Verdana" w:hAnsi="Verdana"/>
          <w:sz w:val="22"/>
          <w:szCs w:val="22"/>
        </w:rPr>
        <w:t xml:space="preserve"> nature </w:t>
      </w:r>
      <w:r w:rsidR="003252CA">
        <w:rPr>
          <w:rFonts w:ascii="Verdana" w:hAnsi="Verdana"/>
          <w:sz w:val="22"/>
          <w:szCs w:val="22"/>
        </w:rPr>
        <w:t>of</w:t>
      </w:r>
      <w:r w:rsidR="00DB12F2">
        <w:rPr>
          <w:rFonts w:ascii="Verdana" w:hAnsi="Verdana"/>
          <w:sz w:val="22"/>
          <w:szCs w:val="22"/>
        </w:rPr>
        <w:t xml:space="preserve"> information security at the agencies. </w:t>
      </w:r>
      <w:r w:rsidR="00BF4296" w:rsidRPr="00CC31A5">
        <w:rPr>
          <w:rFonts w:ascii="Verdana" w:hAnsi="Verdana"/>
          <w:sz w:val="22"/>
          <w:szCs w:val="22"/>
        </w:rPr>
        <w:t>Agencies that do not have a c</w:t>
      </w:r>
      <w:r w:rsidR="007B2F7B" w:rsidRPr="00CC31A5">
        <w:rPr>
          <w:rFonts w:ascii="Verdana" w:hAnsi="Verdana"/>
          <w:sz w:val="22"/>
          <w:szCs w:val="22"/>
        </w:rPr>
        <w:t xml:space="preserve">ertified ISO have an average IT </w:t>
      </w:r>
      <w:r w:rsidR="00BF4296" w:rsidRPr="00CC31A5">
        <w:rPr>
          <w:rFonts w:ascii="Verdana" w:hAnsi="Verdana"/>
          <w:sz w:val="22"/>
          <w:szCs w:val="22"/>
        </w:rPr>
        <w:t xml:space="preserve">security audit compliance grade of F and an average risk management grade of F. </w:t>
      </w:r>
      <w:r w:rsidR="00ED3327" w:rsidRPr="00CC31A5">
        <w:rPr>
          <w:rFonts w:ascii="Verdana" w:hAnsi="Verdana"/>
          <w:sz w:val="22"/>
          <w:szCs w:val="22"/>
        </w:rPr>
        <w:t>T</w:t>
      </w:r>
      <w:r w:rsidR="00915873" w:rsidRPr="00CC31A5">
        <w:rPr>
          <w:rFonts w:ascii="Verdana" w:hAnsi="Verdana"/>
          <w:sz w:val="22"/>
          <w:szCs w:val="22"/>
        </w:rPr>
        <w:t xml:space="preserve">he following agencies do not have certified ISOs at the conclusion of </w:t>
      </w:r>
      <w:r w:rsidR="00603A5B" w:rsidRPr="00CC31A5">
        <w:rPr>
          <w:rFonts w:ascii="Verdana" w:hAnsi="Verdana"/>
          <w:sz w:val="22"/>
          <w:szCs w:val="22"/>
        </w:rPr>
        <w:t>2018</w:t>
      </w:r>
      <w:r w:rsidR="00915873" w:rsidRPr="00CC31A5">
        <w:rPr>
          <w:rFonts w:ascii="Verdana" w:hAnsi="Verdana"/>
          <w:sz w:val="22"/>
          <w:szCs w:val="22"/>
        </w:rPr>
        <w:t xml:space="preserve">: </w:t>
      </w:r>
    </w:p>
    <w:p w14:paraId="35C3B7F6" w14:textId="77777777" w:rsidR="00394ECA" w:rsidRPr="00CC31A5" w:rsidRDefault="00915873" w:rsidP="00915873">
      <w:pPr>
        <w:pStyle w:val="ListParagraph"/>
        <w:numPr>
          <w:ilvl w:val="0"/>
          <w:numId w:val="16"/>
        </w:numPr>
        <w:ind w:right="720"/>
        <w:rPr>
          <w:rFonts w:ascii="Verdana" w:hAnsi="Verdana"/>
          <w:sz w:val="22"/>
          <w:szCs w:val="22"/>
        </w:rPr>
      </w:pPr>
      <w:r w:rsidRPr="00CC31A5">
        <w:rPr>
          <w:rFonts w:ascii="Verdana" w:hAnsi="Verdana"/>
          <w:sz w:val="22"/>
          <w:szCs w:val="22"/>
        </w:rPr>
        <w:t>Tobacco Region Revitalization Commission</w:t>
      </w:r>
    </w:p>
    <w:p w14:paraId="46610FF2" w14:textId="77777777" w:rsidR="003A440E" w:rsidRPr="00CC31A5" w:rsidRDefault="003A440E" w:rsidP="003A440E">
      <w:pPr>
        <w:pStyle w:val="ListParagraph"/>
        <w:numPr>
          <w:ilvl w:val="0"/>
          <w:numId w:val="16"/>
        </w:numPr>
        <w:ind w:right="720"/>
        <w:rPr>
          <w:rFonts w:ascii="Verdana" w:hAnsi="Verdana"/>
          <w:sz w:val="22"/>
          <w:szCs w:val="22"/>
        </w:rPr>
      </w:pPr>
      <w:r w:rsidRPr="00CC31A5">
        <w:rPr>
          <w:rFonts w:ascii="Verdana" w:hAnsi="Verdana"/>
          <w:sz w:val="22"/>
          <w:szCs w:val="22"/>
        </w:rPr>
        <w:t xml:space="preserve">Southwest Virginia Higher Education Center </w:t>
      </w:r>
    </w:p>
    <w:p w14:paraId="442336D5" w14:textId="77777777" w:rsidR="00915873" w:rsidRPr="00CC31A5" w:rsidRDefault="00915873" w:rsidP="00915873">
      <w:pPr>
        <w:pStyle w:val="ListParagraph"/>
        <w:numPr>
          <w:ilvl w:val="0"/>
          <w:numId w:val="16"/>
        </w:numPr>
        <w:ind w:right="720"/>
        <w:rPr>
          <w:rFonts w:ascii="Verdana" w:hAnsi="Verdana"/>
          <w:sz w:val="22"/>
          <w:szCs w:val="22"/>
        </w:rPr>
      </w:pPr>
      <w:r w:rsidRPr="00CC31A5">
        <w:rPr>
          <w:rFonts w:ascii="Verdana" w:hAnsi="Verdana"/>
          <w:sz w:val="22"/>
          <w:szCs w:val="22"/>
        </w:rPr>
        <w:t xml:space="preserve">Virginia Commission for the Arts </w:t>
      </w:r>
    </w:p>
    <w:p w14:paraId="7C336C61" w14:textId="77777777" w:rsidR="00915873" w:rsidRPr="00CC31A5" w:rsidRDefault="00915873" w:rsidP="00915873">
      <w:pPr>
        <w:pStyle w:val="ListParagraph"/>
        <w:numPr>
          <w:ilvl w:val="0"/>
          <w:numId w:val="16"/>
        </w:numPr>
        <w:ind w:right="720"/>
        <w:rPr>
          <w:rFonts w:ascii="Verdana" w:hAnsi="Verdana"/>
          <w:sz w:val="22"/>
          <w:szCs w:val="22"/>
        </w:rPr>
      </w:pPr>
      <w:r w:rsidRPr="00CC31A5">
        <w:rPr>
          <w:rFonts w:ascii="Verdana" w:hAnsi="Verdana"/>
          <w:sz w:val="22"/>
          <w:szCs w:val="22"/>
        </w:rPr>
        <w:t xml:space="preserve">Virginia Foundation for Healthy Youth </w:t>
      </w:r>
    </w:p>
    <w:p w14:paraId="1A7DAAD6" w14:textId="77777777" w:rsidR="00036C7D" w:rsidRDefault="00036C7D" w:rsidP="00915873">
      <w:pPr>
        <w:ind w:right="720"/>
        <w:rPr>
          <w:rFonts w:ascii="Verdana" w:hAnsi="Verdana"/>
          <w:sz w:val="22"/>
          <w:szCs w:val="22"/>
        </w:rPr>
      </w:pPr>
    </w:p>
    <w:p w14:paraId="532434EF" w14:textId="520B2851" w:rsidR="00915873" w:rsidRPr="00CC31A5" w:rsidRDefault="00BF4296" w:rsidP="00915873">
      <w:pPr>
        <w:ind w:right="720"/>
        <w:rPr>
          <w:rFonts w:ascii="Verdana" w:hAnsi="Verdana"/>
          <w:sz w:val="22"/>
          <w:szCs w:val="22"/>
        </w:rPr>
      </w:pPr>
      <w:r w:rsidRPr="00CC31A5">
        <w:rPr>
          <w:rFonts w:ascii="Verdana" w:hAnsi="Verdana"/>
          <w:sz w:val="22"/>
          <w:szCs w:val="22"/>
        </w:rPr>
        <w:t xml:space="preserve">CSRM </w:t>
      </w:r>
      <w:r w:rsidR="007B2F7B" w:rsidRPr="00CC31A5">
        <w:rPr>
          <w:rFonts w:ascii="Verdana" w:hAnsi="Verdana"/>
          <w:sz w:val="22"/>
          <w:szCs w:val="22"/>
        </w:rPr>
        <w:t xml:space="preserve">strongly </w:t>
      </w:r>
      <w:r w:rsidRPr="00CC31A5">
        <w:rPr>
          <w:rFonts w:ascii="Verdana" w:hAnsi="Verdana"/>
          <w:sz w:val="22"/>
          <w:szCs w:val="22"/>
        </w:rPr>
        <w:t>recommends that these agencies</w:t>
      </w:r>
      <w:r w:rsidR="00DA0E4F">
        <w:rPr>
          <w:rFonts w:ascii="Verdana" w:hAnsi="Verdana"/>
          <w:sz w:val="22"/>
          <w:szCs w:val="22"/>
        </w:rPr>
        <w:t xml:space="preserve"> participate in the ISO services or consider </w:t>
      </w:r>
      <w:r w:rsidR="007B2F7B" w:rsidRPr="00CC31A5">
        <w:rPr>
          <w:rFonts w:ascii="Verdana" w:hAnsi="Verdana"/>
          <w:sz w:val="22"/>
          <w:szCs w:val="22"/>
        </w:rPr>
        <w:t>recruit</w:t>
      </w:r>
      <w:r w:rsidR="00DA0E4F">
        <w:rPr>
          <w:rFonts w:ascii="Verdana" w:hAnsi="Verdana"/>
          <w:sz w:val="22"/>
          <w:szCs w:val="22"/>
        </w:rPr>
        <w:t>ing</w:t>
      </w:r>
      <w:r w:rsidR="007B2F7B" w:rsidRPr="00CC31A5">
        <w:rPr>
          <w:rFonts w:ascii="Verdana" w:hAnsi="Verdana"/>
          <w:sz w:val="22"/>
          <w:szCs w:val="22"/>
        </w:rPr>
        <w:t xml:space="preserve"> and hir</w:t>
      </w:r>
      <w:r w:rsidR="00DA0E4F">
        <w:rPr>
          <w:rFonts w:ascii="Verdana" w:hAnsi="Verdana"/>
          <w:sz w:val="22"/>
          <w:szCs w:val="22"/>
        </w:rPr>
        <w:t>ing</w:t>
      </w:r>
      <w:r w:rsidR="007B2F7B" w:rsidRPr="00CC31A5">
        <w:rPr>
          <w:rFonts w:ascii="Verdana" w:hAnsi="Verdana"/>
          <w:sz w:val="22"/>
          <w:szCs w:val="22"/>
        </w:rPr>
        <w:t xml:space="preserve"> capable and </w:t>
      </w:r>
      <w:r w:rsidRPr="00CC31A5">
        <w:rPr>
          <w:rFonts w:ascii="Verdana" w:hAnsi="Verdana"/>
          <w:sz w:val="22"/>
          <w:szCs w:val="22"/>
        </w:rPr>
        <w:t xml:space="preserve">certified ISO staff to </w:t>
      </w:r>
      <w:r w:rsidR="007B2F7B" w:rsidRPr="00CC31A5">
        <w:rPr>
          <w:rFonts w:ascii="Verdana" w:hAnsi="Verdana"/>
          <w:sz w:val="22"/>
          <w:szCs w:val="22"/>
        </w:rPr>
        <w:t>improve their</w:t>
      </w:r>
      <w:r w:rsidRPr="00CC31A5">
        <w:rPr>
          <w:rFonts w:ascii="Verdana" w:hAnsi="Verdana"/>
          <w:sz w:val="22"/>
          <w:szCs w:val="22"/>
        </w:rPr>
        <w:t xml:space="preserve"> </w:t>
      </w:r>
      <w:r w:rsidR="007B2F7B" w:rsidRPr="00CC31A5">
        <w:rPr>
          <w:rFonts w:ascii="Verdana" w:hAnsi="Verdana"/>
          <w:sz w:val="22"/>
          <w:szCs w:val="22"/>
        </w:rPr>
        <w:t>a</w:t>
      </w:r>
      <w:r w:rsidRPr="00CC31A5">
        <w:rPr>
          <w:rFonts w:ascii="Verdana" w:hAnsi="Verdana"/>
          <w:sz w:val="22"/>
          <w:szCs w:val="22"/>
        </w:rPr>
        <w:t xml:space="preserve">gencies IT security </w:t>
      </w:r>
      <w:r w:rsidR="007B2F7B" w:rsidRPr="00CC31A5">
        <w:rPr>
          <w:rFonts w:ascii="Verdana" w:hAnsi="Verdana"/>
          <w:sz w:val="22"/>
          <w:szCs w:val="22"/>
        </w:rPr>
        <w:t>posture</w:t>
      </w:r>
      <w:r w:rsidRPr="00CC31A5">
        <w:rPr>
          <w:rFonts w:ascii="Verdana" w:hAnsi="Verdana"/>
          <w:sz w:val="22"/>
          <w:szCs w:val="22"/>
        </w:rPr>
        <w:t>.</w:t>
      </w:r>
    </w:p>
    <w:p w14:paraId="2F0FA7FE" w14:textId="401A3B9E" w:rsidR="00915873" w:rsidRPr="00377362" w:rsidRDefault="00B37E14" w:rsidP="0095446A">
      <w:pPr>
        <w:rPr>
          <w:sz w:val="22"/>
          <w:szCs w:val="22"/>
          <w:highlight w:val="yellow"/>
        </w:rPr>
      </w:pPr>
      <w:r>
        <w:rPr>
          <w:noProof/>
        </w:rPr>
        <w:drawing>
          <wp:anchor distT="0" distB="0" distL="114300" distR="114300" simplePos="0" relativeHeight="251789312" behindDoc="0" locked="0" layoutInCell="1" allowOverlap="1" wp14:anchorId="353C0C7A" wp14:editId="16BC6B0C">
            <wp:simplePos x="0" y="0"/>
            <wp:positionH relativeFrom="column">
              <wp:posOffset>-145415</wp:posOffset>
            </wp:positionH>
            <wp:positionV relativeFrom="paragraph">
              <wp:posOffset>56515</wp:posOffset>
            </wp:positionV>
            <wp:extent cx="3323590" cy="2086610"/>
            <wp:effectExtent l="0" t="0" r="0" b="889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001D1001" w:rsidRPr="00377362">
        <w:rPr>
          <w:noProof/>
          <w:highlight w:val="yellow"/>
        </w:rPr>
        <w:t xml:space="preserve"> </w:t>
      </w:r>
      <w:r w:rsidR="00F7396C" w:rsidRPr="00377362">
        <w:rPr>
          <w:noProof/>
          <w:highlight w:val="yellow"/>
        </w:rPr>
        <w:t xml:space="preserve"> </w:t>
      </w:r>
    </w:p>
    <w:p w14:paraId="26AADF9A" w14:textId="021022F8" w:rsidR="00CC31A5" w:rsidRDefault="00B37E14" w:rsidP="00D075FF">
      <w:pPr>
        <w:rPr>
          <w:color w:val="008000"/>
          <w:kern w:val="32"/>
        </w:rPr>
      </w:pPr>
      <w:r w:rsidRPr="00377362">
        <w:rPr>
          <w:noProof/>
          <w:highlight w:val="yellow"/>
        </w:rPr>
        <mc:AlternateContent>
          <mc:Choice Requires="wps">
            <w:drawing>
              <wp:anchor distT="0" distB="0" distL="114300" distR="114300" simplePos="0" relativeHeight="251791360" behindDoc="1" locked="0" layoutInCell="1" allowOverlap="1" wp14:anchorId="6084B02C" wp14:editId="496DE6BB">
                <wp:simplePos x="0" y="0"/>
                <wp:positionH relativeFrom="column">
                  <wp:posOffset>1066165</wp:posOffset>
                </wp:positionH>
                <wp:positionV relativeFrom="paragraph">
                  <wp:posOffset>260350</wp:posOffset>
                </wp:positionV>
                <wp:extent cx="593090" cy="741680"/>
                <wp:effectExtent l="19050" t="19050" r="35560" b="20320"/>
                <wp:wrapNone/>
                <wp:docPr id="30" name="Up Arrow 7"/>
                <wp:cNvGraphicFramePr/>
                <a:graphic xmlns:a="http://schemas.openxmlformats.org/drawingml/2006/main">
                  <a:graphicData uri="http://schemas.microsoft.com/office/word/2010/wordprocessingShape">
                    <wps:wsp>
                      <wps:cNvSpPr/>
                      <wps:spPr>
                        <a:xfrm>
                          <a:off x="0" y="0"/>
                          <a:ext cx="593090" cy="741680"/>
                        </a:xfrm>
                        <a:prstGeom prst="upArrow">
                          <a:avLst/>
                        </a:prstGeom>
                        <a:solidFill>
                          <a:srgbClr val="00B050"/>
                        </a:solidFill>
                        <a:ln>
                          <a:solidFill>
                            <a:srgbClr val="00B05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53EF48" w14:textId="77777777" w:rsidR="004B53EA" w:rsidRDefault="004B53EA" w:rsidP="00CC31A5">
                            <w:pPr>
                              <w:shd w:val="clear" w:color="auto" w:fill="00B050"/>
                              <w:jc w:val="center"/>
                            </w:pPr>
                          </w:p>
                        </w:txbxContent>
                      </wps:txbx>
                      <wps:bodyPr vertOverflow="clip" rtlCol="0" anchor="ctr"/>
                    </wps:wsp>
                  </a:graphicData>
                </a:graphic>
                <wp14:sizeRelV relativeFrom="margin">
                  <wp14:pctHeight>0</wp14:pctHeight>
                </wp14:sizeRelV>
              </wp:anchor>
            </w:drawing>
          </mc:Choice>
          <mc:Fallback>
            <w:pict>
              <v:shape id="_x0000_s1037" type="#_x0000_t68" style="position:absolute;margin-left:83.95pt;margin-top:20.5pt;width:46.7pt;height:58.4pt;z-index:-251525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" adj="8636" fillcolor="#00b050" strokecolor="#00b050" strokeweight="2pt">
                <v:textbox>
                  <w:txbxContent>
                    <w:p w14:paraId="4953EF48" w14:textId="77777777" w:rsidR="004B53EA" w:rsidRDefault="004B53EA" w:rsidP="00CC31A5">
                      <w:pPr>
                        <w:shd w:val="clear" w:color="auto" w:fill="00B050"/>
                        <w:jc w:val="center"/>
                      </w:pPr>
                    </w:p>
                  </w:txbxContent>
                </v:textbox>
              </v:shape>
            </w:pict>
          </mc:Fallback>
        </mc:AlternateContent>
      </w:r>
    </w:p>
    <w:p w14:paraId="0450D42A" w14:textId="5986664D" w:rsidR="00CC31A5" w:rsidRDefault="00CC31A5" w:rsidP="00D075FF"/>
    <w:p w14:paraId="2BE81218" w14:textId="4F9F54A6" w:rsidR="00CC31A5" w:rsidRDefault="00CC31A5" w:rsidP="00D075FF">
      <w:pPr>
        <w:rPr>
          <w:iCs/>
          <w:color w:val="008000"/>
          <w:kern w:val="32"/>
          <w:sz w:val="22"/>
          <w:szCs w:val="22"/>
        </w:rPr>
      </w:pPr>
    </w:p>
    <w:p w14:paraId="010AFD76" w14:textId="0AFFF944" w:rsidR="00CC31A5" w:rsidRDefault="00CC31A5" w:rsidP="00D075FF">
      <w:pPr>
        <w:rPr>
          <w:color w:val="008000"/>
          <w:kern w:val="32"/>
        </w:rPr>
      </w:pPr>
    </w:p>
    <w:p w14:paraId="1DAA4A12" w14:textId="47F8DE59" w:rsidR="00CC31A5" w:rsidRDefault="00CC31A5" w:rsidP="00D075FF"/>
    <w:p w14:paraId="1B2E1773" w14:textId="77777777" w:rsidR="00AA3D2C" w:rsidRDefault="00AA3D2C" w:rsidP="00176C7B">
      <w:pPr>
        <w:rPr>
          <w:rFonts w:ascii="Verdana" w:hAnsi="Verdana"/>
          <w:b/>
          <w:sz w:val="22"/>
          <w:szCs w:val="22"/>
        </w:rPr>
      </w:pPr>
    </w:p>
    <w:p w14:paraId="52464E86" w14:textId="190A6A31" w:rsidR="00AA3D2C" w:rsidRDefault="00D075FF" w:rsidP="00176C7B">
      <w:pPr>
        <w:rPr>
          <w:rFonts w:ascii="Verdana" w:hAnsi="Verdana"/>
          <w:b/>
          <w:sz w:val="22"/>
          <w:szCs w:val="22"/>
        </w:rPr>
      </w:pPr>
      <w:r w:rsidRPr="00377362">
        <w:rPr>
          <w:noProof/>
          <w:highlight w:val="yellow"/>
        </w:rPr>
        <mc:AlternateContent>
          <mc:Choice Requires="wps">
            <w:drawing>
              <wp:anchor distT="0" distB="0" distL="114300" distR="114300" simplePos="0" relativeHeight="251759616" behindDoc="0" locked="0" layoutInCell="1" allowOverlap="1" wp14:anchorId="5CB99EE1" wp14:editId="7EA20786">
                <wp:simplePos x="0" y="0"/>
                <wp:positionH relativeFrom="column">
                  <wp:posOffset>379095</wp:posOffset>
                </wp:positionH>
                <wp:positionV relativeFrom="paragraph">
                  <wp:posOffset>126066</wp:posOffset>
                </wp:positionV>
                <wp:extent cx="1866900" cy="676275"/>
                <wp:effectExtent l="0" t="0" r="0" b="9525"/>
                <wp:wrapNone/>
                <wp:docPr id="20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6F336" w14:textId="4C44557A" w:rsidR="004B53EA" w:rsidRDefault="004B53EA" w:rsidP="00915873">
                            <w:pPr>
                              <w:jc w:val="center"/>
                              <w:rPr>
                                <w:rFonts w:ascii="Verdana" w:hAnsi="Verdana"/>
                                <w:b/>
                                <w:sz w:val="20"/>
                                <w:szCs w:val="20"/>
                              </w:rPr>
                            </w:pPr>
                            <w:r>
                              <w:rPr>
                                <w:rFonts w:ascii="Verdana" w:hAnsi="Verdana"/>
                                <w:b/>
                                <w:sz w:val="20"/>
                                <w:szCs w:val="20"/>
                              </w:rPr>
                              <w:t xml:space="preserve">The % of ISO’s that are certified increased by 7 percent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9.85pt;margin-top:9.95pt;width:147pt;height:53.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" stroked="f">
                <v:textbox>
                  <w:txbxContent>
                    <w:p w14:paraId="2DB6F336" w14:textId="4C44557A" w:rsidR="004B53EA" w:rsidRDefault="004B53EA" w:rsidP="00915873">
                      <w:pPr>
                        <w:jc w:val="center"/>
                        <w:rPr>
                          <w:rFonts w:ascii="Verdana" w:hAnsi="Verdana"/>
                          <w:b/>
                          <w:sz w:val="20"/>
                          <w:szCs w:val="20"/>
                        </w:rPr>
                      </w:pPr>
                      <w:r>
                        <w:rPr>
                          <w:rFonts w:ascii="Verdana" w:hAnsi="Verdana"/>
                          <w:b/>
                          <w:sz w:val="20"/>
                          <w:szCs w:val="20"/>
                        </w:rPr>
                        <w:t xml:space="preserve">The % of ISO’s that are certified increased by 7 percent </w:t>
                      </w:r>
                    </w:p>
                  </w:txbxContent>
                </v:textbox>
              </v:shape>
            </w:pict>
          </mc:Fallback>
        </mc:AlternateContent>
      </w:r>
    </w:p>
    <w:p w14:paraId="6E3F49E9" w14:textId="77777777" w:rsidR="00AA3D2C" w:rsidRDefault="00AA3D2C" w:rsidP="00176C7B">
      <w:pPr>
        <w:rPr>
          <w:rFonts w:ascii="Verdana" w:hAnsi="Verdana"/>
          <w:b/>
          <w:sz w:val="22"/>
          <w:szCs w:val="22"/>
        </w:rPr>
      </w:pPr>
    </w:p>
    <w:p w14:paraId="3AAB317D" w14:textId="77777777" w:rsidR="00D075FF" w:rsidRDefault="00D075FF" w:rsidP="00176C7B">
      <w:pPr>
        <w:rPr>
          <w:rFonts w:ascii="Verdana" w:hAnsi="Verdana"/>
          <w:b/>
          <w:sz w:val="22"/>
          <w:szCs w:val="22"/>
        </w:rPr>
      </w:pPr>
    </w:p>
    <w:p w14:paraId="54964F37" w14:textId="77777777" w:rsidR="00D075FF" w:rsidRDefault="00D075FF" w:rsidP="00176C7B">
      <w:pPr>
        <w:rPr>
          <w:rFonts w:ascii="Verdana" w:hAnsi="Verdana"/>
          <w:b/>
          <w:sz w:val="22"/>
          <w:szCs w:val="22"/>
        </w:rPr>
      </w:pPr>
    </w:p>
    <w:p w14:paraId="2569E3C6" w14:textId="77777777" w:rsidR="00D075FF" w:rsidRDefault="00D075FF" w:rsidP="00176C7B">
      <w:pPr>
        <w:rPr>
          <w:rFonts w:ascii="Verdana" w:hAnsi="Verdana"/>
          <w:b/>
          <w:sz w:val="22"/>
          <w:szCs w:val="22"/>
        </w:rPr>
      </w:pPr>
    </w:p>
    <w:p w14:paraId="6A53E0E5" w14:textId="77777777" w:rsidR="00D075FF" w:rsidRDefault="00D075FF" w:rsidP="00176C7B">
      <w:pPr>
        <w:rPr>
          <w:rFonts w:ascii="Verdana" w:hAnsi="Verdana"/>
          <w:b/>
          <w:sz w:val="22"/>
          <w:szCs w:val="22"/>
        </w:rPr>
      </w:pPr>
    </w:p>
    <w:p w14:paraId="29B0BA22" w14:textId="5F30A285" w:rsidR="00176C7B" w:rsidRPr="00E671B7" w:rsidRDefault="00176C7B" w:rsidP="00176C7B">
      <w:pPr>
        <w:rPr>
          <w:rFonts w:ascii="Verdana" w:hAnsi="Verdana"/>
          <w:sz w:val="22"/>
          <w:szCs w:val="22"/>
        </w:rPr>
      </w:pPr>
      <w:r w:rsidRPr="00E671B7">
        <w:rPr>
          <w:rFonts w:ascii="Verdana" w:hAnsi="Verdana"/>
          <w:b/>
          <w:sz w:val="22"/>
          <w:szCs w:val="22"/>
        </w:rPr>
        <w:t>BIA metrics have improved</w:t>
      </w:r>
      <w:r w:rsidR="00915B29" w:rsidRPr="00E671B7">
        <w:rPr>
          <w:rFonts w:ascii="Verdana" w:hAnsi="Verdana"/>
          <w:b/>
          <w:sz w:val="22"/>
          <w:szCs w:val="22"/>
        </w:rPr>
        <w:t xml:space="preserve"> </w:t>
      </w:r>
      <w:r w:rsidR="003250F2">
        <w:rPr>
          <w:rFonts w:ascii="Verdana" w:hAnsi="Verdana"/>
          <w:b/>
          <w:sz w:val="22"/>
          <w:szCs w:val="22"/>
        </w:rPr>
        <w:t xml:space="preserve">from last year. </w:t>
      </w:r>
      <w:r w:rsidR="003250F2">
        <w:rPr>
          <w:rFonts w:ascii="Verdana" w:hAnsi="Verdana"/>
          <w:sz w:val="22"/>
          <w:szCs w:val="22"/>
        </w:rPr>
        <w:t xml:space="preserve">Agency BIA metrics have improved form 69% of agencies having a completed BIA to 82% of agencies having a completed </w:t>
      </w:r>
      <w:r w:rsidR="003C76D0">
        <w:rPr>
          <w:rFonts w:ascii="Verdana" w:hAnsi="Verdana"/>
          <w:sz w:val="22"/>
          <w:szCs w:val="22"/>
        </w:rPr>
        <w:t xml:space="preserve">a </w:t>
      </w:r>
      <w:r w:rsidR="003250F2">
        <w:rPr>
          <w:rFonts w:ascii="Verdana" w:hAnsi="Verdana"/>
          <w:sz w:val="22"/>
          <w:szCs w:val="22"/>
        </w:rPr>
        <w:t>BIA, an increase of 19</w:t>
      </w:r>
      <w:r w:rsidR="003C76D0">
        <w:rPr>
          <w:rFonts w:ascii="Verdana" w:hAnsi="Verdana"/>
          <w:sz w:val="22"/>
          <w:szCs w:val="22"/>
        </w:rPr>
        <w:t>%</w:t>
      </w:r>
      <w:r w:rsidR="003250F2">
        <w:rPr>
          <w:rFonts w:ascii="Verdana" w:hAnsi="Verdana"/>
          <w:sz w:val="22"/>
          <w:szCs w:val="22"/>
        </w:rPr>
        <w:t xml:space="preserve">from the prior year. This </w:t>
      </w:r>
      <w:r w:rsidR="00E671B7">
        <w:rPr>
          <w:rFonts w:ascii="Verdana" w:hAnsi="Verdana"/>
          <w:sz w:val="22"/>
          <w:szCs w:val="22"/>
        </w:rPr>
        <w:t>improvement</w:t>
      </w:r>
      <w:r w:rsidR="003250F2">
        <w:rPr>
          <w:rFonts w:ascii="Verdana" w:hAnsi="Verdana"/>
          <w:sz w:val="22"/>
          <w:szCs w:val="22"/>
        </w:rPr>
        <w:t xml:space="preserve"> can be attributed to agencies</w:t>
      </w:r>
      <w:r w:rsidR="003C76D0">
        <w:rPr>
          <w:rFonts w:ascii="Verdana" w:hAnsi="Verdana"/>
          <w:sz w:val="22"/>
          <w:szCs w:val="22"/>
        </w:rPr>
        <w:t>’</w:t>
      </w:r>
      <w:r w:rsidR="003250F2">
        <w:rPr>
          <w:rFonts w:ascii="Verdana" w:hAnsi="Verdana"/>
          <w:sz w:val="22"/>
          <w:szCs w:val="22"/>
        </w:rPr>
        <w:t xml:space="preserve"> increased attention on IT security and support from VITA ISO services to complete BIAs for agencies that have not completed </w:t>
      </w:r>
      <w:r w:rsidR="003C76D0">
        <w:rPr>
          <w:rFonts w:ascii="Verdana" w:hAnsi="Verdana"/>
          <w:sz w:val="22"/>
          <w:szCs w:val="22"/>
        </w:rPr>
        <w:t xml:space="preserve">them </w:t>
      </w:r>
      <w:r w:rsidR="003250F2">
        <w:rPr>
          <w:rFonts w:ascii="Verdana" w:hAnsi="Verdana"/>
          <w:sz w:val="22"/>
          <w:szCs w:val="22"/>
        </w:rPr>
        <w:t xml:space="preserve">in the past. </w:t>
      </w:r>
    </w:p>
    <w:p w14:paraId="7BE18217" w14:textId="3F03D272" w:rsidR="00176C7B" w:rsidRPr="00176C7B" w:rsidRDefault="00036C7D" w:rsidP="00176C7B">
      <w:r w:rsidRPr="00377362">
        <w:rPr>
          <w:noProof/>
          <w:sz w:val="22"/>
          <w:szCs w:val="22"/>
          <w:highlight w:val="yellow"/>
        </w:rPr>
        <mc:AlternateContent>
          <mc:Choice Requires="wps">
            <w:drawing>
              <wp:anchor distT="0" distB="0" distL="114300" distR="114300" simplePos="0" relativeHeight="251795456" behindDoc="0" locked="0" layoutInCell="1" allowOverlap="1" wp14:anchorId="0221336D" wp14:editId="08130A1B">
                <wp:simplePos x="0" y="0"/>
                <wp:positionH relativeFrom="column">
                  <wp:posOffset>4075430</wp:posOffset>
                </wp:positionH>
                <wp:positionV relativeFrom="paragraph">
                  <wp:posOffset>1661795</wp:posOffset>
                </wp:positionV>
                <wp:extent cx="1866900" cy="676275"/>
                <wp:effectExtent l="0" t="0" r="0" b="9525"/>
                <wp:wrapNone/>
                <wp:docPr id="205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BAE0F" w14:textId="7637887B" w:rsidR="004B53EA" w:rsidRDefault="004B53EA" w:rsidP="003250F2">
                            <w:pPr>
                              <w:jc w:val="center"/>
                              <w:rPr>
                                <w:rFonts w:ascii="Verdana" w:hAnsi="Verdana"/>
                                <w:b/>
                                <w:sz w:val="20"/>
                                <w:szCs w:val="20"/>
                              </w:rPr>
                            </w:pPr>
                            <w:r>
                              <w:rPr>
                                <w:rFonts w:ascii="Verdana" w:hAnsi="Verdana"/>
                                <w:b/>
                                <w:sz w:val="20"/>
                                <w:szCs w:val="20"/>
                              </w:rPr>
                              <w:t xml:space="preserve">BIA completion improved by 19%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20.9pt;margin-top:130.85pt;width:147pt;height:5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" stroked="f">
                <v:textbox>
                  <w:txbxContent>
                    <w:p w14:paraId="49FBAE0F" w14:textId="7637887B" w:rsidR="004B53EA" w:rsidRDefault="004B53EA" w:rsidP="003250F2">
                      <w:pPr>
                        <w:jc w:val="center"/>
                        <w:rPr>
                          <w:rFonts w:ascii="Verdana" w:hAnsi="Verdana"/>
                          <w:b/>
                          <w:sz w:val="20"/>
                          <w:szCs w:val="20"/>
                        </w:rPr>
                      </w:pPr>
                      <w:r>
                        <w:rPr>
                          <w:rFonts w:ascii="Verdana" w:hAnsi="Verdana"/>
                          <w:b/>
                          <w:sz w:val="20"/>
                          <w:szCs w:val="20"/>
                        </w:rPr>
                        <w:t xml:space="preserve">BIA completion improved by 19% </w:t>
                      </w:r>
                    </w:p>
                  </w:txbxContent>
                </v:textbox>
              </v:shape>
            </w:pict>
          </mc:Fallback>
        </mc:AlternateContent>
      </w:r>
      <w:r w:rsidRPr="00377362">
        <w:rPr>
          <w:bCs/>
          <w:noProof/>
          <w:color w:val="00B050"/>
          <w:sz w:val="22"/>
          <w:szCs w:val="22"/>
          <w:highlight w:val="yellow"/>
        </w:rPr>
        <mc:AlternateContent>
          <mc:Choice Requires="wps">
            <w:drawing>
              <wp:anchor distT="0" distB="0" distL="114300" distR="114300" simplePos="0" relativeHeight="251793408" behindDoc="1" locked="0" layoutInCell="1" allowOverlap="1" wp14:anchorId="2CC776DD" wp14:editId="47E4FD21">
                <wp:simplePos x="0" y="0"/>
                <wp:positionH relativeFrom="column">
                  <wp:posOffset>4669790</wp:posOffset>
                </wp:positionH>
                <wp:positionV relativeFrom="paragraph">
                  <wp:posOffset>672465</wp:posOffset>
                </wp:positionV>
                <wp:extent cx="593090" cy="741680"/>
                <wp:effectExtent l="19050" t="19050" r="35560" b="20320"/>
                <wp:wrapNone/>
                <wp:docPr id="2052" name="Up Arrow 7"/>
                <wp:cNvGraphicFramePr/>
                <a:graphic xmlns:a="http://schemas.openxmlformats.org/drawingml/2006/main">
                  <a:graphicData uri="http://schemas.microsoft.com/office/word/2010/wordprocessingShape">
                    <wps:wsp>
                      <wps:cNvSpPr/>
                      <wps:spPr>
                        <a:xfrm>
                          <a:off x="0" y="0"/>
                          <a:ext cx="593090" cy="741680"/>
                        </a:xfrm>
                        <a:prstGeom prst="upArrow">
                          <a:avLst/>
                        </a:prstGeom>
                        <a:solidFill>
                          <a:srgbClr val="00B050"/>
                        </a:solidFill>
                        <a:ln>
                          <a:solidFill>
                            <a:srgbClr val="00B05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670B9A8" w14:textId="77777777" w:rsidR="004B53EA" w:rsidRDefault="004B53EA" w:rsidP="003250F2">
                            <w:pPr>
                              <w:shd w:val="clear" w:color="auto" w:fill="00B050"/>
                              <w:jc w:val="center"/>
                            </w:pPr>
                          </w:p>
                        </w:txbxContent>
                      </wps:txbx>
                      <wps:bodyPr vertOverflow="clip" rtlCol="0" anchor="ctr"/>
                    </wps:wsp>
                  </a:graphicData>
                </a:graphic>
                <wp14:sizeRelV relativeFrom="margin">
                  <wp14:pctHeight>0</wp14:pctHeight>
                </wp14:sizeRelV>
              </wp:anchor>
            </w:drawing>
          </mc:Choice>
          <mc:Fallback>
            <w:pict>
              <v:shape id="_x0000_s1040" type="#_x0000_t68" style="position:absolute;margin-left:367.7pt;margin-top:52.95pt;width:46.7pt;height:58.4pt;z-index:-25152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" adj="8636" fillcolor="#00b050" strokecolor="#00b050" strokeweight="2pt">
                <v:textbox>
                  <w:txbxContent>
                    <w:p w14:paraId="4670B9A8" w14:textId="77777777" w:rsidR="004B53EA" w:rsidRDefault="004B53EA" w:rsidP="003250F2">
                      <w:pPr>
                        <w:shd w:val="clear" w:color="auto" w:fill="00B050"/>
                        <w:jc w:val="center"/>
                      </w:pPr>
                    </w:p>
                  </w:txbxContent>
                </v:textbox>
              </v:shape>
            </w:pict>
          </mc:Fallback>
        </mc:AlternateContent>
      </w:r>
      <w:r w:rsidR="00915B29" w:rsidRPr="00541000">
        <w:rPr>
          <w:rFonts w:ascii="Verdana" w:hAnsi="Verdana"/>
          <w:noProof/>
        </w:rPr>
        <w:drawing>
          <wp:inline distT="0" distB="0" distL="0" distR="0" wp14:anchorId="4E2DA6E4" wp14:editId="11593C75">
            <wp:extent cx="3905026" cy="2140772"/>
            <wp:effectExtent l="0" t="0" r="635" b="0"/>
            <wp:docPr id="2050" name="Chart 20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FF9CB0D" w14:textId="12C882DE" w:rsidR="00260066" w:rsidRPr="00D075FF" w:rsidRDefault="005F1CB7" w:rsidP="00D075FF">
      <w:pPr>
        <w:pStyle w:val="Heading1"/>
        <w:spacing w:after="240"/>
        <w:rPr>
          <w:rFonts w:ascii="Verdana" w:hAnsi="Verdana"/>
          <w:color w:val="008000"/>
          <w:sz w:val="22"/>
          <w:szCs w:val="22"/>
        </w:rPr>
      </w:pPr>
      <w:bookmarkStart w:id="25" w:name="_Toc14262288"/>
      <w:r w:rsidRPr="00D075FF">
        <w:rPr>
          <w:rFonts w:ascii="Verdana" w:hAnsi="Verdana"/>
          <w:color w:val="008000"/>
          <w:sz w:val="22"/>
          <w:szCs w:val="22"/>
        </w:rPr>
        <w:t xml:space="preserve">Nationwide </w:t>
      </w:r>
      <w:r w:rsidR="00260066" w:rsidRPr="00D075FF">
        <w:rPr>
          <w:rFonts w:ascii="Verdana" w:hAnsi="Verdana"/>
          <w:color w:val="008000"/>
          <w:sz w:val="22"/>
          <w:szCs w:val="22"/>
        </w:rPr>
        <w:t>Cyber</w:t>
      </w:r>
      <w:r w:rsidRPr="00D075FF">
        <w:rPr>
          <w:rFonts w:ascii="Verdana" w:hAnsi="Verdana"/>
          <w:color w:val="008000"/>
          <w:sz w:val="22"/>
          <w:szCs w:val="22"/>
        </w:rPr>
        <w:t xml:space="preserve"> Security Review</w:t>
      </w:r>
      <w:bookmarkEnd w:id="25"/>
    </w:p>
    <w:p w14:paraId="48AA5A8F" w14:textId="105FEE68" w:rsidR="00922C50" w:rsidRDefault="00CD550E" w:rsidP="00922C50">
      <w:pPr>
        <w:autoSpaceDE w:val="0"/>
        <w:autoSpaceDN w:val="0"/>
        <w:adjustRightInd w:val="0"/>
        <w:rPr>
          <w:rFonts w:ascii="Verdana" w:hAnsi="Verdana"/>
          <w:sz w:val="22"/>
          <w:szCs w:val="22"/>
        </w:rPr>
      </w:pPr>
      <w:r w:rsidRPr="003B60CC">
        <w:rPr>
          <w:rFonts w:ascii="Verdana" w:hAnsi="Verdana"/>
          <w:b/>
          <w:bCs/>
          <w:iCs/>
          <w:sz w:val="22"/>
          <w:szCs w:val="22"/>
        </w:rPr>
        <w:t xml:space="preserve">Commonwealth agencies participate </w:t>
      </w:r>
      <w:r w:rsidR="004068FB">
        <w:rPr>
          <w:rFonts w:ascii="Verdana" w:hAnsi="Verdana"/>
          <w:b/>
          <w:bCs/>
          <w:iCs/>
          <w:sz w:val="22"/>
          <w:szCs w:val="22"/>
        </w:rPr>
        <w:t xml:space="preserve">again </w:t>
      </w:r>
      <w:r w:rsidRPr="003B60CC">
        <w:rPr>
          <w:rFonts w:ascii="Verdana" w:hAnsi="Verdana"/>
          <w:b/>
          <w:bCs/>
          <w:iCs/>
          <w:sz w:val="22"/>
          <w:szCs w:val="22"/>
        </w:rPr>
        <w:t xml:space="preserve">in the </w:t>
      </w:r>
      <w:r w:rsidR="003C76D0">
        <w:rPr>
          <w:rFonts w:ascii="Verdana" w:hAnsi="Verdana"/>
          <w:b/>
          <w:bCs/>
          <w:iCs/>
          <w:sz w:val="22"/>
          <w:szCs w:val="22"/>
        </w:rPr>
        <w:t>“</w:t>
      </w:r>
      <w:r w:rsidR="00D95D38" w:rsidRPr="003B60CC">
        <w:rPr>
          <w:rFonts w:ascii="Verdana" w:hAnsi="Verdana"/>
          <w:b/>
          <w:bCs/>
          <w:iCs/>
          <w:sz w:val="22"/>
          <w:szCs w:val="22"/>
        </w:rPr>
        <w:t>Nationwide Cyber</w:t>
      </w:r>
      <w:r w:rsidR="003B0C99" w:rsidRPr="003B60CC">
        <w:rPr>
          <w:rFonts w:ascii="Verdana" w:hAnsi="Verdana"/>
          <w:b/>
          <w:bCs/>
          <w:iCs/>
          <w:sz w:val="22"/>
          <w:szCs w:val="22"/>
        </w:rPr>
        <w:t xml:space="preserve"> S</w:t>
      </w:r>
      <w:r w:rsidR="00D95D38" w:rsidRPr="003B60CC">
        <w:rPr>
          <w:rFonts w:ascii="Verdana" w:hAnsi="Verdana"/>
          <w:b/>
          <w:bCs/>
          <w:iCs/>
          <w:sz w:val="22"/>
          <w:szCs w:val="22"/>
        </w:rPr>
        <w:t>ecurity Review</w:t>
      </w:r>
      <w:r w:rsidR="003C76D0">
        <w:rPr>
          <w:rFonts w:ascii="Verdana" w:hAnsi="Verdana"/>
          <w:b/>
          <w:bCs/>
          <w:iCs/>
          <w:sz w:val="22"/>
          <w:szCs w:val="22"/>
        </w:rPr>
        <w:t>”</w:t>
      </w:r>
      <w:r w:rsidR="00D95D38" w:rsidRPr="003B60CC">
        <w:rPr>
          <w:rFonts w:ascii="Verdana" w:hAnsi="Verdana"/>
          <w:b/>
          <w:bCs/>
          <w:iCs/>
          <w:sz w:val="22"/>
          <w:szCs w:val="22"/>
        </w:rPr>
        <w:t xml:space="preserve"> (NCSR)</w:t>
      </w:r>
      <w:r w:rsidR="004068FB">
        <w:rPr>
          <w:rFonts w:ascii="Verdana" w:hAnsi="Verdana"/>
          <w:b/>
          <w:bCs/>
          <w:iCs/>
          <w:sz w:val="22"/>
          <w:szCs w:val="22"/>
        </w:rPr>
        <w:t xml:space="preserve">. </w:t>
      </w:r>
      <w:r w:rsidR="00532CFB" w:rsidRPr="003B60CC">
        <w:rPr>
          <w:rFonts w:ascii="Verdana" w:hAnsi="Verdana"/>
          <w:sz w:val="22"/>
          <w:szCs w:val="22"/>
        </w:rPr>
        <w:t xml:space="preserve">The </w:t>
      </w:r>
      <w:r w:rsidR="00B04151" w:rsidRPr="003B60CC">
        <w:rPr>
          <w:rFonts w:ascii="Verdana" w:hAnsi="Verdana"/>
          <w:sz w:val="22"/>
          <w:szCs w:val="22"/>
        </w:rPr>
        <w:t xml:space="preserve">NCSR questions are built on the </w:t>
      </w:r>
      <w:r w:rsidR="0030153E" w:rsidRPr="003B60CC">
        <w:rPr>
          <w:rFonts w:ascii="Verdana" w:hAnsi="Verdana"/>
          <w:sz w:val="22"/>
          <w:szCs w:val="22"/>
        </w:rPr>
        <w:t xml:space="preserve">National Institute of Standards and Technology (NIST) </w:t>
      </w:r>
      <w:r w:rsidR="003C76D0">
        <w:rPr>
          <w:rFonts w:ascii="Verdana" w:hAnsi="Verdana"/>
          <w:sz w:val="22"/>
          <w:szCs w:val="22"/>
        </w:rPr>
        <w:t>c</w:t>
      </w:r>
      <w:r w:rsidR="0030153E" w:rsidRPr="003B60CC">
        <w:rPr>
          <w:rFonts w:ascii="Verdana" w:hAnsi="Verdana"/>
          <w:sz w:val="22"/>
          <w:szCs w:val="22"/>
        </w:rPr>
        <w:t xml:space="preserve">ybersecurity </w:t>
      </w:r>
      <w:r w:rsidR="003C76D0">
        <w:rPr>
          <w:rFonts w:ascii="Verdana" w:hAnsi="Verdana"/>
          <w:sz w:val="22"/>
          <w:szCs w:val="22"/>
        </w:rPr>
        <w:t>f</w:t>
      </w:r>
      <w:r w:rsidR="0030153E" w:rsidRPr="003B60CC">
        <w:rPr>
          <w:rFonts w:ascii="Verdana" w:hAnsi="Verdana"/>
          <w:sz w:val="22"/>
          <w:szCs w:val="22"/>
        </w:rPr>
        <w:t xml:space="preserve">ramework (CSF) </w:t>
      </w:r>
      <w:r w:rsidR="00B04151" w:rsidRPr="003B60CC">
        <w:rPr>
          <w:rFonts w:ascii="Verdana" w:hAnsi="Verdana"/>
          <w:sz w:val="22"/>
          <w:szCs w:val="22"/>
        </w:rPr>
        <w:t>core</w:t>
      </w:r>
      <w:r w:rsidR="004068FB">
        <w:rPr>
          <w:rFonts w:ascii="Verdana" w:hAnsi="Verdana"/>
          <w:sz w:val="22"/>
          <w:szCs w:val="22"/>
        </w:rPr>
        <w:t xml:space="preserve"> and </w:t>
      </w:r>
      <w:r w:rsidR="004068FB">
        <w:rPr>
          <w:rFonts w:ascii="Verdana" w:hAnsi="Verdana"/>
          <w:bCs/>
          <w:iCs/>
          <w:sz w:val="22"/>
          <w:szCs w:val="22"/>
        </w:rPr>
        <w:t xml:space="preserve">serve as </w:t>
      </w:r>
      <w:r w:rsidR="004068FB" w:rsidRPr="00B62F46">
        <w:rPr>
          <w:rFonts w:ascii="Verdana" w:hAnsi="Verdana"/>
          <w:bCs/>
          <w:iCs/>
          <w:sz w:val="22"/>
          <w:szCs w:val="22"/>
        </w:rPr>
        <w:t>cyber network security assessment designed to measure security gaps and capabilities</w:t>
      </w:r>
      <w:r w:rsidR="004068FB" w:rsidRPr="003B60CC">
        <w:rPr>
          <w:rFonts w:ascii="Verdana" w:hAnsi="Verdana"/>
          <w:bCs/>
          <w:iCs/>
          <w:sz w:val="22"/>
          <w:szCs w:val="22"/>
        </w:rPr>
        <w:t>.</w:t>
      </w:r>
      <w:r w:rsidR="003252CA">
        <w:rPr>
          <w:rFonts w:ascii="Verdana" w:hAnsi="Verdana"/>
          <w:bCs/>
          <w:iCs/>
          <w:sz w:val="22"/>
          <w:szCs w:val="22"/>
        </w:rPr>
        <w:t xml:space="preserve"> </w:t>
      </w:r>
      <w:r w:rsidR="002B23FD" w:rsidRPr="003B60CC">
        <w:rPr>
          <w:rFonts w:ascii="Verdana" w:hAnsi="Verdana"/>
          <w:sz w:val="22"/>
          <w:szCs w:val="22"/>
        </w:rPr>
        <w:t>The assessment</w:t>
      </w:r>
      <w:r w:rsidR="00B04151" w:rsidRPr="003B60CC">
        <w:rPr>
          <w:rFonts w:ascii="Verdana" w:hAnsi="Verdana"/>
          <w:sz w:val="22"/>
          <w:szCs w:val="22"/>
        </w:rPr>
        <w:t xml:space="preserve"> provides a point</w:t>
      </w:r>
      <w:r w:rsidR="003C76D0">
        <w:rPr>
          <w:rFonts w:ascii="Verdana" w:hAnsi="Verdana"/>
          <w:sz w:val="22"/>
          <w:szCs w:val="22"/>
        </w:rPr>
        <w:t>-</w:t>
      </w:r>
      <w:r w:rsidR="00B04151" w:rsidRPr="003B60CC">
        <w:rPr>
          <w:rFonts w:ascii="Verdana" w:hAnsi="Verdana"/>
          <w:sz w:val="22"/>
          <w:szCs w:val="22"/>
        </w:rPr>
        <w:t>in</w:t>
      </w:r>
      <w:r w:rsidR="003C76D0">
        <w:rPr>
          <w:rFonts w:ascii="Verdana" w:hAnsi="Verdana"/>
          <w:sz w:val="22"/>
          <w:szCs w:val="22"/>
        </w:rPr>
        <w:t>-</w:t>
      </w:r>
      <w:r w:rsidR="00B04151" w:rsidRPr="003B60CC">
        <w:rPr>
          <w:rFonts w:ascii="Verdana" w:hAnsi="Verdana"/>
          <w:sz w:val="22"/>
          <w:szCs w:val="22"/>
        </w:rPr>
        <w:t xml:space="preserve">time analysis based on the </w:t>
      </w:r>
      <w:r w:rsidR="002B23FD" w:rsidRPr="003B60CC">
        <w:rPr>
          <w:rFonts w:ascii="Verdana" w:hAnsi="Verdana"/>
          <w:sz w:val="22"/>
          <w:szCs w:val="22"/>
        </w:rPr>
        <w:t xml:space="preserve">agency’s self-assessment of their </w:t>
      </w:r>
      <w:r w:rsidR="004068FB">
        <w:rPr>
          <w:rFonts w:ascii="Verdana" w:hAnsi="Verdana"/>
          <w:sz w:val="22"/>
          <w:szCs w:val="22"/>
        </w:rPr>
        <w:t>controls, policies and procedures</w:t>
      </w:r>
      <w:r w:rsidR="003252CA">
        <w:rPr>
          <w:rFonts w:ascii="Verdana" w:hAnsi="Verdana"/>
          <w:sz w:val="22"/>
          <w:szCs w:val="22"/>
        </w:rPr>
        <w:t xml:space="preserve"> and allows comparison between states</w:t>
      </w:r>
      <w:r w:rsidR="004068FB">
        <w:rPr>
          <w:rFonts w:ascii="Verdana" w:hAnsi="Verdana"/>
          <w:sz w:val="22"/>
          <w:szCs w:val="22"/>
        </w:rPr>
        <w:t xml:space="preserve">. </w:t>
      </w:r>
      <w:r w:rsidR="00B04151" w:rsidRPr="003B60CC">
        <w:rPr>
          <w:rFonts w:ascii="Verdana" w:hAnsi="Verdana"/>
          <w:sz w:val="22"/>
          <w:szCs w:val="22"/>
        </w:rPr>
        <w:t>The five main</w:t>
      </w:r>
      <w:r w:rsidR="00D5042C" w:rsidRPr="003B60CC">
        <w:rPr>
          <w:rFonts w:ascii="Verdana" w:hAnsi="Verdana"/>
          <w:sz w:val="22"/>
          <w:szCs w:val="22"/>
        </w:rPr>
        <w:t xml:space="preserve"> functions</w:t>
      </w:r>
      <w:r w:rsidRPr="003B60CC">
        <w:rPr>
          <w:rFonts w:ascii="Verdana" w:hAnsi="Verdana"/>
          <w:sz w:val="22"/>
          <w:szCs w:val="22"/>
        </w:rPr>
        <w:t xml:space="preserve"> of the NCSR are</w:t>
      </w:r>
      <w:r w:rsidR="00922C50" w:rsidRPr="003B60CC">
        <w:rPr>
          <w:rFonts w:ascii="Verdana" w:hAnsi="Verdana"/>
          <w:sz w:val="22"/>
          <w:szCs w:val="22"/>
        </w:rPr>
        <w:t>:</w:t>
      </w:r>
      <w:r w:rsidR="00227457" w:rsidRPr="003B60CC">
        <w:rPr>
          <w:rFonts w:ascii="Verdana" w:hAnsi="Verdana"/>
          <w:sz w:val="22"/>
          <w:szCs w:val="22"/>
        </w:rPr>
        <w:t xml:space="preserve"> </w:t>
      </w:r>
      <w:r w:rsidR="003C76D0">
        <w:rPr>
          <w:rFonts w:ascii="Verdana" w:hAnsi="Verdana"/>
          <w:sz w:val="22"/>
          <w:szCs w:val="22"/>
        </w:rPr>
        <w:t>i</w:t>
      </w:r>
      <w:r w:rsidR="00227457" w:rsidRPr="003B60CC">
        <w:rPr>
          <w:rFonts w:ascii="Verdana" w:hAnsi="Verdana"/>
          <w:sz w:val="22"/>
          <w:szCs w:val="22"/>
        </w:rPr>
        <w:t xml:space="preserve">dentify, </w:t>
      </w:r>
      <w:r w:rsidR="003C76D0">
        <w:rPr>
          <w:rFonts w:ascii="Verdana" w:hAnsi="Verdana"/>
          <w:sz w:val="22"/>
          <w:szCs w:val="22"/>
        </w:rPr>
        <w:t>p</w:t>
      </w:r>
      <w:r w:rsidR="00227457" w:rsidRPr="003B60CC">
        <w:rPr>
          <w:rFonts w:ascii="Verdana" w:hAnsi="Verdana"/>
          <w:sz w:val="22"/>
          <w:szCs w:val="22"/>
        </w:rPr>
        <w:t xml:space="preserve">rotect, </w:t>
      </w:r>
      <w:r w:rsidR="003C76D0">
        <w:rPr>
          <w:rFonts w:ascii="Verdana" w:hAnsi="Verdana"/>
          <w:sz w:val="22"/>
          <w:szCs w:val="22"/>
        </w:rPr>
        <w:t>d</w:t>
      </w:r>
      <w:r w:rsidR="00227457" w:rsidRPr="003B60CC">
        <w:rPr>
          <w:rFonts w:ascii="Verdana" w:hAnsi="Verdana"/>
          <w:sz w:val="22"/>
          <w:szCs w:val="22"/>
        </w:rPr>
        <w:t xml:space="preserve">etect, </w:t>
      </w:r>
      <w:r w:rsidR="003C76D0">
        <w:rPr>
          <w:rFonts w:ascii="Verdana" w:hAnsi="Verdana"/>
          <w:sz w:val="22"/>
          <w:szCs w:val="22"/>
        </w:rPr>
        <w:t>r</w:t>
      </w:r>
      <w:r w:rsidR="00227457" w:rsidRPr="003B60CC">
        <w:rPr>
          <w:rFonts w:ascii="Verdana" w:hAnsi="Verdana"/>
          <w:sz w:val="22"/>
          <w:szCs w:val="22"/>
        </w:rPr>
        <w:t xml:space="preserve">espond and </w:t>
      </w:r>
      <w:r w:rsidR="003C76D0">
        <w:rPr>
          <w:rFonts w:ascii="Verdana" w:hAnsi="Verdana"/>
          <w:sz w:val="22"/>
          <w:szCs w:val="22"/>
        </w:rPr>
        <w:t>r</w:t>
      </w:r>
      <w:r w:rsidR="00227457" w:rsidRPr="003B60CC">
        <w:rPr>
          <w:rFonts w:ascii="Verdana" w:hAnsi="Verdana"/>
          <w:sz w:val="22"/>
          <w:szCs w:val="22"/>
        </w:rPr>
        <w:t xml:space="preserve">ecover. </w:t>
      </w:r>
      <w:r w:rsidR="00B04151" w:rsidRPr="003B60CC">
        <w:rPr>
          <w:rFonts w:ascii="Verdana" w:hAnsi="Verdana"/>
          <w:sz w:val="22"/>
          <w:szCs w:val="22"/>
        </w:rPr>
        <w:t>Each function is subdivided into categories and then fur</w:t>
      </w:r>
      <w:r w:rsidR="003C76D0">
        <w:rPr>
          <w:rFonts w:ascii="Verdana" w:hAnsi="Verdana"/>
          <w:sz w:val="22"/>
          <w:szCs w:val="22"/>
        </w:rPr>
        <w:t>t</w:t>
      </w:r>
      <w:r w:rsidR="00B04151" w:rsidRPr="003B60CC">
        <w:rPr>
          <w:rFonts w:ascii="Verdana" w:hAnsi="Verdana"/>
          <w:sz w:val="22"/>
          <w:szCs w:val="22"/>
        </w:rPr>
        <w:t xml:space="preserve">her into subcategories. </w:t>
      </w:r>
      <w:r w:rsidRPr="003B60CC">
        <w:rPr>
          <w:rFonts w:ascii="Verdana" w:hAnsi="Verdana"/>
          <w:sz w:val="22"/>
          <w:szCs w:val="22"/>
        </w:rPr>
        <w:t xml:space="preserve">The number of agencies who participated in the survey increased from </w:t>
      </w:r>
      <w:r w:rsidR="005D39A3" w:rsidRPr="003B60CC">
        <w:rPr>
          <w:rFonts w:ascii="Verdana" w:hAnsi="Verdana"/>
          <w:sz w:val="22"/>
          <w:szCs w:val="22"/>
        </w:rPr>
        <w:t>39</w:t>
      </w:r>
      <w:r w:rsidR="00FB528E" w:rsidRPr="003B60CC">
        <w:rPr>
          <w:rFonts w:ascii="Verdana" w:hAnsi="Verdana"/>
          <w:sz w:val="22"/>
          <w:szCs w:val="22"/>
        </w:rPr>
        <w:t xml:space="preserve"> a</w:t>
      </w:r>
      <w:r w:rsidR="002B23FD" w:rsidRPr="003B60CC">
        <w:rPr>
          <w:rFonts w:ascii="Verdana" w:hAnsi="Verdana"/>
          <w:sz w:val="22"/>
          <w:szCs w:val="22"/>
        </w:rPr>
        <w:t xml:space="preserve">gencies </w:t>
      </w:r>
      <w:r w:rsidRPr="003B60CC">
        <w:rPr>
          <w:rFonts w:ascii="Verdana" w:hAnsi="Verdana"/>
          <w:sz w:val="22"/>
          <w:szCs w:val="22"/>
        </w:rPr>
        <w:t>to 6</w:t>
      </w:r>
      <w:r w:rsidR="007A1023" w:rsidRPr="003B60CC">
        <w:rPr>
          <w:rFonts w:ascii="Verdana" w:hAnsi="Verdana"/>
          <w:sz w:val="22"/>
          <w:szCs w:val="22"/>
        </w:rPr>
        <w:t>5</w:t>
      </w:r>
      <w:r w:rsidRPr="003B60CC">
        <w:rPr>
          <w:rFonts w:ascii="Verdana" w:hAnsi="Verdana"/>
          <w:sz w:val="22"/>
          <w:szCs w:val="22"/>
        </w:rPr>
        <w:t xml:space="preserve"> agencies, an increase of 3</w:t>
      </w:r>
      <w:r w:rsidR="007A1023" w:rsidRPr="003B60CC">
        <w:rPr>
          <w:rFonts w:ascii="Verdana" w:hAnsi="Verdana"/>
          <w:sz w:val="22"/>
          <w:szCs w:val="22"/>
        </w:rPr>
        <w:t>4</w:t>
      </w:r>
      <w:r w:rsidRPr="003B60CC">
        <w:rPr>
          <w:rFonts w:ascii="Verdana" w:hAnsi="Verdana"/>
          <w:sz w:val="22"/>
          <w:szCs w:val="22"/>
        </w:rPr>
        <w:t xml:space="preserve">%. Agencies are asked to </w:t>
      </w:r>
      <w:r w:rsidR="00FB528E" w:rsidRPr="003B60CC">
        <w:rPr>
          <w:rFonts w:ascii="Verdana" w:hAnsi="Verdana"/>
          <w:sz w:val="22"/>
          <w:szCs w:val="22"/>
        </w:rPr>
        <w:t>evaluat</w:t>
      </w:r>
      <w:r w:rsidRPr="003B60CC">
        <w:rPr>
          <w:rFonts w:ascii="Verdana" w:hAnsi="Verdana"/>
          <w:sz w:val="22"/>
          <w:szCs w:val="22"/>
        </w:rPr>
        <w:t>e</w:t>
      </w:r>
      <w:r w:rsidR="00FB528E" w:rsidRPr="003B60CC">
        <w:rPr>
          <w:rFonts w:ascii="Verdana" w:hAnsi="Verdana"/>
          <w:sz w:val="22"/>
          <w:szCs w:val="22"/>
        </w:rPr>
        <w:t xml:space="preserve"> the maturity level of their processes and controls using the scoring described in the table below from the Nationwide Cyber Security Review.</w:t>
      </w:r>
    </w:p>
    <w:p w14:paraId="1445B3FB" w14:textId="77777777" w:rsidR="00C64B04" w:rsidRPr="003B60CC" w:rsidRDefault="00C64B04" w:rsidP="00922C50">
      <w:pPr>
        <w:autoSpaceDE w:val="0"/>
        <w:autoSpaceDN w:val="0"/>
        <w:adjustRightInd w:val="0"/>
        <w:rPr>
          <w:rFonts w:ascii="Verdana" w:hAnsi="Verdana"/>
          <w:sz w:val="22"/>
          <w:szCs w:val="22"/>
        </w:rPr>
      </w:pPr>
    </w:p>
    <w:p w14:paraId="3FD777E5" w14:textId="1BFA43D9" w:rsidR="00A84357" w:rsidRPr="008C0EE2" w:rsidRDefault="00AA3D2C" w:rsidP="00922C50">
      <w:pPr>
        <w:autoSpaceDE w:val="0"/>
        <w:autoSpaceDN w:val="0"/>
        <w:adjustRightInd w:val="0"/>
        <w:rPr>
          <w:rFonts w:ascii="Verdana" w:hAnsi="Verdana"/>
          <w:sz w:val="22"/>
          <w:szCs w:val="22"/>
          <w:highlight w:val="yellow"/>
        </w:rPr>
      </w:pPr>
      <w:r w:rsidRPr="008C0EE2">
        <w:rPr>
          <w:noProof/>
          <w:highlight w:val="yellow"/>
        </w:rPr>
        <w:drawing>
          <wp:anchor distT="0" distB="0" distL="114300" distR="114300" simplePos="0" relativeHeight="251778048" behindDoc="1" locked="0" layoutInCell="1" allowOverlap="1" wp14:anchorId="51839759" wp14:editId="4CCF082B">
            <wp:simplePos x="0" y="0"/>
            <wp:positionH relativeFrom="margin">
              <wp:align>center</wp:align>
            </wp:positionH>
            <wp:positionV relativeFrom="paragraph">
              <wp:posOffset>5715</wp:posOffset>
            </wp:positionV>
            <wp:extent cx="3896995" cy="3700145"/>
            <wp:effectExtent l="0" t="0" r="825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3896747" cy="3699904"/>
                    </a:xfrm>
                    <a:prstGeom prst="rect">
                      <a:avLst/>
                    </a:prstGeom>
                  </pic:spPr>
                </pic:pic>
              </a:graphicData>
            </a:graphic>
            <wp14:sizeRelH relativeFrom="page">
              <wp14:pctWidth>0</wp14:pctWidth>
            </wp14:sizeRelH>
            <wp14:sizeRelV relativeFrom="page">
              <wp14:pctHeight>0</wp14:pctHeight>
            </wp14:sizeRelV>
          </wp:anchor>
        </w:drawing>
      </w:r>
    </w:p>
    <w:p w14:paraId="481F69B4" w14:textId="6D02B583" w:rsidR="00A84357" w:rsidRPr="008C0EE2" w:rsidRDefault="00A84357" w:rsidP="00922C50">
      <w:pPr>
        <w:autoSpaceDE w:val="0"/>
        <w:autoSpaceDN w:val="0"/>
        <w:adjustRightInd w:val="0"/>
        <w:rPr>
          <w:rFonts w:ascii="Verdana" w:hAnsi="Verdana"/>
          <w:sz w:val="22"/>
          <w:szCs w:val="22"/>
          <w:highlight w:val="yellow"/>
        </w:rPr>
      </w:pPr>
    </w:p>
    <w:p w14:paraId="799FF37D" w14:textId="77777777" w:rsidR="00FB528E" w:rsidRPr="008C0EE2" w:rsidRDefault="00FB528E" w:rsidP="00D5042C">
      <w:pPr>
        <w:spacing w:before="240" w:after="240"/>
        <w:rPr>
          <w:rFonts w:ascii="Verdana" w:hAnsi="Verdana"/>
          <w:sz w:val="22"/>
          <w:szCs w:val="22"/>
          <w:highlight w:val="yellow"/>
        </w:rPr>
      </w:pPr>
    </w:p>
    <w:p w14:paraId="084D0D08" w14:textId="1E4D53A1" w:rsidR="00FB528E" w:rsidRDefault="00FB528E" w:rsidP="00D5042C">
      <w:pPr>
        <w:spacing w:before="240" w:after="240"/>
        <w:rPr>
          <w:rFonts w:ascii="Verdana" w:hAnsi="Verdana"/>
          <w:sz w:val="22"/>
          <w:szCs w:val="22"/>
          <w:highlight w:val="yellow"/>
        </w:rPr>
      </w:pPr>
    </w:p>
    <w:p w14:paraId="178DFF76" w14:textId="3A154944" w:rsidR="00C3494C" w:rsidRDefault="00C3494C" w:rsidP="00D5042C">
      <w:pPr>
        <w:spacing w:before="240" w:after="240"/>
        <w:rPr>
          <w:rFonts w:ascii="Verdana" w:hAnsi="Verdana"/>
          <w:sz w:val="22"/>
          <w:szCs w:val="22"/>
          <w:highlight w:val="yellow"/>
        </w:rPr>
      </w:pPr>
    </w:p>
    <w:p w14:paraId="5DA87910" w14:textId="3B333A33" w:rsidR="00C3494C" w:rsidRDefault="00C3494C" w:rsidP="00D5042C">
      <w:pPr>
        <w:spacing w:before="240" w:after="240"/>
        <w:rPr>
          <w:rFonts w:ascii="Verdana" w:hAnsi="Verdana"/>
          <w:sz w:val="22"/>
          <w:szCs w:val="22"/>
          <w:highlight w:val="yellow"/>
        </w:rPr>
      </w:pPr>
    </w:p>
    <w:p w14:paraId="374C8820" w14:textId="6789739F" w:rsidR="00C3494C" w:rsidRDefault="00C3494C" w:rsidP="00D5042C">
      <w:pPr>
        <w:spacing w:before="240" w:after="240"/>
        <w:rPr>
          <w:rFonts w:ascii="Verdana" w:hAnsi="Verdana"/>
          <w:sz w:val="22"/>
          <w:szCs w:val="22"/>
          <w:highlight w:val="yellow"/>
        </w:rPr>
      </w:pPr>
    </w:p>
    <w:p w14:paraId="1F259785" w14:textId="1F1843E6" w:rsidR="00C3494C" w:rsidRDefault="00C3494C" w:rsidP="00D5042C">
      <w:pPr>
        <w:spacing w:before="240" w:after="240"/>
        <w:rPr>
          <w:rFonts w:ascii="Verdana" w:hAnsi="Verdana"/>
          <w:sz w:val="22"/>
          <w:szCs w:val="22"/>
          <w:highlight w:val="yellow"/>
        </w:rPr>
      </w:pPr>
    </w:p>
    <w:p w14:paraId="00F19272" w14:textId="7FCFC7F2" w:rsidR="00C3494C" w:rsidRDefault="00C3494C" w:rsidP="00D5042C">
      <w:pPr>
        <w:spacing w:before="240" w:after="240"/>
        <w:rPr>
          <w:rFonts w:ascii="Verdana" w:hAnsi="Verdana"/>
          <w:sz w:val="22"/>
          <w:szCs w:val="22"/>
          <w:highlight w:val="yellow"/>
        </w:rPr>
      </w:pPr>
    </w:p>
    <w:p w14:paraId="61367ACF" w14:textId="48564726" w:rsidR="00C3494C" w:rsidRDefault="00C3494C" w:rsidP="00D5042C">
      <w:pPr>
        <w:spacing w:before="240" w:after="240"/>
        <w:rPr>
          <w:rFonts w:ascii="Verdana" w:hAnsi="Verdana"/>
          <w:sz w:val="22"/>
          <w:szCs w:val="22"/>
          <w:highlight w:val="yellow"/>
        </w:rPr>
      </w:pPr>
    </w:p>
    <w:p w14:paraId="2FE67D9B" w14:textId="77777777" w:rsidR="00E671B7" w:rsidRDefault="00E671B7" w:rsidP="00D5042C">
      <w:pPr>
        <w:spacing w:before="240" w:after="240"/>
        <w:rPr>
          <w:rFonts w:ascii="Verdana" w:hAnsi="Verdana"/>
          <w:sz w:val="22"/>
          <w:szCs w:val="22"/>
          <w:highlight w:val="yellow"/>
        </w:rPr>
      </w:pPr>
    </w:p>
    <w:p w14:paraId="0D036AAE" w14:textId="77777777" w:rsidR="00AA3D2C" w:rsidRDefault="00AA3D2C" w:rsidP="00D5042C">
      <w:pPr>
        <w:spacing w:before="240" w:after="240"/>
        <w:contextualSpacing/>
        <w:rPr>
          <w:rFonts w:ascii="Verdana" w:hAnsi="Verdana"/>
          <w:b/>
          <w:sz w:val="22"/>
          <w:szCs w:val="22"/>
        </w:rPr>
      </w:pPr>
    </w:p>
    <w:p w14:paraId="5720526D" w14:textId="77777777" w:rsidR="00AA3D2C" w:rsidRDefault="00AA3D2C" w:rsidP="00D5042C">
      <w:pPr>
        <w:spacing w:before="240" w:after="240"/>
        <w:contextualSpacing/>
        <w:rPr>
          <w:rFonts w:ascii="Verdana" w:hAnsi="Verdana"/>
          <w:b/>
          <w:sz w:val="22"/>
          <w:szCs w:val="22"/>
        </w:rPr>
      </w:pPr>
    </w:p>
    <w:p w14:paraId="51166033" w14:textId="77777777" w:rsidR="00C64B04" w:rsidRDefault="00C64B04" w:rsidP="00D5042C">
      <w:pPr>
        <w:spacing w:before="240" w:after="240"/>
        <w:contextualSpacing/>
        <w:rPr>
          <w:rFonts w:ascii="Verdana" w:hAnsi="Verdana"/>
          <w:b/>
          <w:sz w:val="22"/>
          <w:szCs w:val="22"/>
        </w:rPr>
      </w:pPr>
    </w:p>
    <w:p w14:paraId="69A31A7D" w14:textId="35A240CB" w:rsidR="001C4B70" w:rsidRPr="003B60CC" w:rsidRDefault="00A53731" w:rsidP="00D5042C">
      <w:pPr>
        <w:spacing w:before="240" w:after="240"/>
        <w:contextualSpacing/>
        <w:rPr>
          <w:rFonts w:ascii="Verdana" w:hAnsi="Verdana"/>
          <w:sz w:val="22"/>
          <w:szCs w:val="22"/>
        </w:rPr>
      </w:pPr>
      <w:r w:rsidRPr="003B60CC">
        <w:rPr>
          <w:rFonts w:ascii="Verdana" w:hAnsi="Verdana"/>
          <w:b/>
          <w:sz w:val="22"/>
          <w:szCs w:val="22"/>
        </w:rPr>
        <w:t>C</w:t>
      </w:r>
      <w:r w:rsidR="009B1099" w:rsidRPr="003B60CC">
        <w:rPr>
          <w:rFonts w:ascii="Verdana" w:hAnsi="Verdana"/>
          <w:b/>
          <w:sz w:val="22"/>
          <w:szCs w:val="22"/>
        </w:rPr>
        <w:t xml:space="preserve">ommonwealth results </w:t>
      </w:r>
      <w:r w:rsidRPr="003B60CC">
        <w:rPr>
          <w:rFonts w:ascii="Verdana" w:hAnsi="Verdana"/>
          <w:b/>
          <w:sz w:val="22"/>
          <w:szCs w:val="22"/>
        </w:rPr>
        <w:t xml:space="preserve">are consistent with the prior year and exceed the recommended maturity levels. </w:t>
      </w:r>
      <w:r w:rsidR="009B1099" w:rsidRPr="003B60CC">
        <w:rPr>
          <w:rFonts w:ascii="Verdana" w:hAnsi="Verdana"/>
          <w:sz w:val="22"/>
          <w:szCs w:val="22"/>
        </w:rPr>
        <w:t xml:space="preserve">For the agencies that participated, the </w:t>
      </w:r>
      <w:r w:rsidR="00C3494C" w:rsidRPr="003B60CC">
        <w:rPr>
          <w:rFonts w:ascii="Verdana" w:hAnsi="Verdana"/>
          <w:sz w:val="22"/>
          <w:szCs w:val="22"/>
        </w:rPr>
        <w:t>“</w:t>
      </w:r>
      <w:r w:rsidR="003B0C99" w:rsidRPr="003B60CC">
        <w:rPr>
          <w:rFonts w:ascii="Verdana" w:hAnsi="Verdana"/>
          <w:sz w:val="22"/>
          <w:szCs w:val="22"/>
        </w:rPr>
        <w:t>p</w:t>
      </w:r>
      <w:r w:rsidR="009B1099" w:rsidRPr="003B60CC">
        <w:rPr>
          <w:rFonts w:ascii="Verdana" w:hAnsi="Verdana"/>
          <w:sz w:val="22"/>
          <w:szCs w:val="22"/>
        </w:rPr>
        <w:t>rotect</w:t>
      </w:r>
      <w:r w:rsidR="00C3494C" w:rsidRPr="003B60CC">
        <w:rPr>
          <w:rFonts w:ascii="Verdana" w:hAnsi="Verdana"/>
          <w:sz w:val="22"/>
          <w:szCs w:val="22"/>
        </w:rPr>
        <w:t>”</w:t>
      </w:r>
      <w:r w:rsidR="009B1099" w:rsidRPr="003B60CC">
        <w:rPr>
          <w:rFonts w:ascii="Verdana" w:hAnsi="Verdana"/>
          <w:sz w:val="22"/>
          <w:szCs w:val="22"/>
        </w:rPr>
        <w:t xml:space="preserve"> function is the most mature function and </w:t>
      </w:r>
      <w:r w:rsidR="00C3494C" w:rsidRPr="003B60CC">
        <w:rPr>
          <w:rFonts w:ascii="Verdana" w:hAnsi="Verdana"/>
          <w:sz w:val="22"/>
          <w:szCs w:val="22"/>
        </w:rPr>
        <w:t>“</w:t>
      </w:r>
      <w:r w:rsidR="003B0C99" w:rsidRPr="003B60CC">
        <w:rPr>
          <w:rFonts w:ascii="Verdana" w:hAnsi="Verdana"/>
          <w:sz w:val="22"/>
          <w:szCs w:val="22"/>
        </w:rPr>
        <w:t>r</w:t>
      </w:r>
      <w:r w:rsidR="009B1099" w:rsidRPr="003B60CC">
        <w:rPr>
          <w:rFonts w:ascii="Verdana" w:hAnsi="Verdana"/>
          <w:sz w:val="22"/>
          <w:szCs w:val="22"/>
        </w:rPr>
        <w:t>ecover</w:t>
      </w:r>
      <w:r w:rsidR="00C3494C" w:rsidRPr="003B60CC">
        <w:rPr>
          <w:rFonts w:ascii="Verdana" w:hAnsi="Verdana"/>
          <w:sz w:val="22"/>
          <w:szCs w:val="22"/>
        </w:rPr>
        <w:t>”</w:t>
      </w:r>
      <w:r w:rsidR="009B1099" w:rsidRPr="003B60CC">
        <w:rPr>
          <w:rFonts w:ascii="Verdana" w:hAnsi="Verdana"/>
          <w:sz w:val="22"/>
          <w:szCs w:val="22"/>
        </w:rPr>
        <w:t xml:space="preserve"> is the least mature function in </w:t>
      </w:r>
      <w:r w:rsidR="00603A5B" w:rsidRPr="003B60CC">
        <w:rPr>
          <w:rFonts w:ascii="Verdana" w:hAnsi="Verdana"/>
          <w:sz w:val="22"/>
          <w:szCs w:val="22"/>
        </w:rPr>
        <w:t>2018</w:t>
      </w:r>
      <w:r w:rsidRPr="003B60CC">
        <w:rPr>
          <w:rFonts w:ascii="Verdana" w:hAnsi="Verdana"/>
          <w:sz w:val="22"/>
          <w:szCs w:val="22"/>
        </w:rPr>
        <w:t xml:space="preserve">, consistent with the results of prior year. </w:t>
      </w:r>
      <w:r w:rsidR="00FB528E" w:rsidRPr="003B60CC">
        <w:rPr>
          <w:rFonts w:ascii="Verdana" w:hAnsi="Verdana"/>
          <w:sz w:val="22"/>
          <w:szCs w:val="22"/>
        </w:rPr>
        <w:t>As noted</w:t>
      </w:r>
      <w:r w:rsidR="009B1099" w:rsidRPr="003B60CC">
        <w:rPr>
          <w:rFonts w:ascii="Verdana" w:hAnsi="Verdana"/>
          <w:sz w:val="22"/>
          <w:szCs w:val="22"/>
        </w:rPr>
        <w:t xml:space="preserve"> in the table</w:t>
      </w:r>
      <w:r w:rsidR="00FB528E" w:rsidRPr="003B60CC">
        <w:rPr>
          <w:rFonts w:ascii="Verdana" w:hAnsi="Verdana"/>
          <w:sz w:val="22"/>
          <w:szCs w:val="22"/>
        </w:rPr>
        <w:t xml:space="preserve"> above</w:t>
      </w:r>
      <w:r w:rsidR="009D35BF" w:rsidRPr="003B60CC">
        <w:rPr>
          <w:rFonts w:ascii="Verdana" w:hAnsi="Verdana"/>
          <w:sz w:val="22"/>
          <w:szCs w:val="22"/>
        </w:rPr>
        <w:t xml:space="preserve">, the </w:t>
      </w:r>
      <w:r w:rsidR="00FB528E" w:rsidRPr="003B60CC">
        <w:rPr>
          <w:rFonts w:ascii="Verdana" w:hAnsi="Verdana"/>
          <w:sz w:val="22"/>
          <w:szCs w:val="22"/>
        </w:rPr>
        <w:t>recommended</w:t>
      </w:r>
      <w:r w:rsidR="009D35BF" w:rsidRPr="003B60CC">
        <w:rPr>
          <w:rFonts w:ascii="Verdana" w:hAnsi="Verdana"/>
          <w:sz w:val="22"/>
          <w:szCs w:val="22"/>
        </w:rPr>
        <w:t xml:space="preserve"> minimum maturity level is a score of </w:t>
      </w:r>
      <w:r w:rsidR="003B0C99" w:rsidRPr="003B60CC">
        <w:rPr>
          <w:rFonts w:ascii="Verdana" w:hAnsi="Verdana"/>
          <w:sz w:val="22"/>
          <w:szCs w:val="22"/>
        </w:rPr>
        <w:t xml:space="preserve">five </w:t>
      </w:r>
      <w:r w:rsidR="009D35BF" w:rsidRPr="003B60CC">
        <w:rPr>
          <w:rFonts w:ascii="Verdana" w:hAnsi="Verdana"/>
          <w:sz w:val="22"/>
          <w:szCs w:val="22"/>
        </w:rPr>
        <w:t>or hi</w:t>
      </w:r>
      <w:r w:rsidR="00953B7E" w:rsidRPr="003B60CC">
        <w:rPr>
          <w:rFonts w:ascii="Verdana" w:hAnsi="Verdana"/>
          <w:sz w:val="22"/>
          <w:szCs w:val="22"/>
        </w:rPr>
        <w:t>gher</w:t>
      </w:r>
      <w:r w:rsidR="005F1CB7" w:rsidRPr="003B60CC">
        <w:rPr>
          <w:rFonts w:ascii="Verdana" w:hAnsi="Verdana"/>
          <w:sz w:val="22"/>
          <w:szCs w:val="22"/>
        </w:rPr>
        <w:t xml:space="preserve"> and </w:t>
      </w:r>
      <w:r w:rsidR="004068FB">
        <w:rPr>
          <w:rFonts w:ascii="Verdana" w:hAnsi="Verdana"/>
          <w:sz w:val="22"/>
          <w:szCs w:val="22"/>
        </w:rPr>
        <w:t xml:space="preserve">agency results </w:t>
      </w:r>
      <w:r w:rsidR="009D35BF" w:rsidRPr="003B60CC">
        <w:rPr>
          <w:rFonts w:ascii="Verdana" w:hAnsi="Verdana"/>
          <w:sz w:val="22"/>
          <w:szCs w:val="22"/>
        </w:rPr>
        <w:t xml:space="preserve">meet </w:t>
      </w:r>
      <w:r w:rsidR="005F1CB7" w:rsidRPr="003B60CC">
        <w:rPr>
          <w:rFonts w:ascii="Verdana" w:hAnsi="Verdana"/>
          <w:sz w:val="22"/>
          <w:szCs w:val="22"/>
        </w:rPr>
        <w:t>this minimum criterion</w:t>
      </w:r>
      <w:r w:rsidR="009D35BF" w:rsidRPr="003B60CC">
        <w:rPr>
          <w:rFonts w:ascii="Verdana" w:hAnsi="Verdana"/>
          <w:sz w:val="22"/>
          <w:szCs w:val="22"/>
        </w:rPr>
        <w:t xml:space="preserve"> for </w:t>
      </w:r>
      <w:r w:rsidR="00953B7E" w:rsidRPr="003B60CC">
        <w:rPr>
          <w:rFonts w:ascii="Verdana" w:hAnsi="Verdana"/>
          <w:sz w:val="22"/>
          <w:szCs w:val="22"/>
        </w:rPr>
        <w:t>every</w:t>
      </w:r>
      <w:r w:rsidR="009D35BF" w:rsidRPr="003B60CC">
        <w:rPr>
          <w:rFonts w:ascii="Verdana" w:hAnsi="Verdana"/>
          <w:sz w:val="22"/>
          <w:szCs w:val="22"/>
        </w:rPr>
        <w:t xml:space="preserve"> function</w:t>
      </w:r>
      <w:r w:rsidR="005F1CB7" w:rsidRPr="003B60CC">
        <w:rPr>
          <w:rFonts w:ascii="Verdana" w:hAnsi="Verdana"/>
          <w:sz w:val="22"/>
          <w:szCs w:val="22"/>
        </w:rPr>
        <w:t xml:space="preserve"> in the CSF. </w:t>
      </w:r>
      <w:r w:rsidR="001C4B70" w:rsidRPr="003B60CC">
        <w:rPr>
          <w:rFonts w:ascii="Verdana" w:hAnsi="Verdana"/>
          <w:sz w:val="22"/>
          <w:szCs w:val="22"/>
        </w:rPr>
        <w:t xml:space="preserve">This indicates that agencies </w:t>
      </w:r>
      <w:r w:rsidR="004068FB">
        <w:rPr>
          <w:rFonts w:ascii="Verdana" w:hAnsi="Verdana"/>
          <w:sz w:val="22"/>
          <w:szCs w:val="22"/>
        </w:rPr>
        <w:t xml:space="preserve">believe </w:t>
      </w:r>
      <w:r w:rsidR="001C4B70" w:rsidRPr="003B60CC">
        <w:rPr>
          <w:rFonts w:ascii="Verdana" w:hAnsi="Verdana"/>
          <w:sz w:val="22"/>
          <w:szCs w:val="22"/>
        </w:rPr>
        <w:t xml:space="preserve">that </w:t>
      </w:r>
      <w:r w:rsidR="004068FB">
        <w:rPr>
          <w:rFonts w:ascii="Verdana" w:hAnsi="Verdana"/>
          <w:sz w:val="22"/>
          <w:szCs w:val="22"/>
        </w:rPr>
        <w:t>that they have adequately documented their policies, standards and procedures and are in the process of implementing them</w:t>
      </w:r>
      <w:r w:rsidR="001C4B70" w:rsidRPr="003B60CC">
        <w:rPr>
          <w:rFonts w:ascii="Verdana" w:hAnsi="Verdana"/>
          <w:sz w:val="22"/>
          <w:szCs w:val="22"/>
        </w:rPr>
        <w:t xml:space="preserve"> for all of the functions in the framework.  </w:t>
      </w:r>
    </w:p>
    <w:p w14:paraId="39187868" w14:textId="1B65A0E5" w:rsidR="00A84357" w:rsidRPr="003B60CC" w:rsidRDefault="003341DD" w:rsidP="003B60CC">
      <w:pPr>
        <w:spacing w:before="240" w:after="240"/>
        <w:jc w:val="center"/>
        <w:rPr>
          <w:rFonts w:ascii="Verdana" w:hAnsi="Verdana"/>
          <w:sz w:val="22"/>
          <w:szCs w:val="22"/>
        </w:rPr>
      </w:pPr>
      <w:r w:rsidRPr="003B60CC">
        <w:rPr>
          <w:noProof/>
        </w:rPr>
        <w:drawing>
          <wp:inline distT="0" distB="0" distL="0" distR="0" wp14:anchorId="652949F2" wp14:editId="0FB71507">
            <wp:extent cx="5419725" cy="29146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A47B880" w14:textId="47F77676" w:rsidR="003B0C99" w:rsidRPr="003B60CC" w:rsidRDefault="009B1099" w:rsidP="008D6D26">
      <w:pPr>
        <w:spacing w:before="240" w:after="240"/>
        <w:contextualSpacing/>
        <w:rPr>
          <w:rFonts w:ascii="Verdana" w:hAnsi="Verdana"/>
          <w:sz w:val="22"/>
          <w:szCs w:val="22"/>
        </w:rPr>
      </w:pPr>
      <w:r w:rsidRPr="003B60CC">
        <w:rPr>
          <w:rFonts w:ascii="Verdana" w:hAnsi="Verdana"/>
          <w:b/>
          <w:sz w:val="22"/>
          <w:szCs w:val="22"/>
        </w:rPr>
        <w:t>Commonwealth agencies compared favorably with their peers in other states</w:t>
      </w:r>
      <w:r w:rsidRPr="003B60CC">
        <w:rPr>
          <w:rFonts w:ascii="Verdana" w:hAnsi="Verdana"/>
          <w:sz w:val="22"/>
          <w:szCs w:val="22"/>
        </w:rPr>
        <w:t>.</w:t>
      </w:r>
    </w:p>
    <w:p w14:paraId="450F9FCC" w14:textId="2C9C7FD1" w:rsidR="008D6D26" w:rsidRPr="003B60CC" w:rsidRDefault="009B1099" w:rsidP="008D6D26">
      <w:pPr>
        <w:spacing w:before="240" w:after="240"/>
        <w:rPr>
          <w:rFonts w:ascii="Verdana" w:hAnsi="Verdana"/>
          <w:sz w:val="22"/>
          <w:szCs w:val="22"/>
        </w:rPr>
      </w:pPr>
      <w:r w:rsidRPr="003B60CC">
        <w:rPr>
          <w:rFonts w:ascii="Verdana" w:hAnsi="Verdana"/>
          <w:sz w:val="22"/>
          <w:szCs w:val="22"/>
        </w:rPr>
        <w:t>T</w:t>
      </w:r>
      <w:r w:rsidR="005F1CB7" w:rsidRPr="003B60CC">
        <w:rPr>
          <w:rFonts w:ascii="Verdana" w:hAnsi="Verdana"/>
          <w:sz w:val="22"/>
          <w:szCs w:val="22"/>
        </w:rPr>
        <w:t xml:space="preserve">he </w:t>
      </w:r>
      <w:r w:rsidR="001C4B70" w:rsidRPr="003B60CC">
        <w:rPr>
          <w:rFonts w:ascii="Verdana" w:hAnsi="Verdana"/>
          <w:sz w:val="22"/>
          <w:szCs w:val="22"/>
        </w:rPr>
        <w:t>results</w:t>
      </w:r>
      <w:r w:rsidR="005F1CB7" w:rsidRPr="003B60CC">
        <w:rPr>
          <w:rFonts w:ascii="Verdana" w:hAnsi="Verdana"/>
          <w:sz w:val="22"/>
          <w:szCs w:val="22"/>
        </w:rPr>
        <w:t xml:space="preserve"> </w:t>
      </w:r>
      <w:r w:rsidR="001C4B70" w:rsidRPr="003B60CC">
        <w:rPr>
          <w:rFonts w:ascii="Verdana" w:hAnsi="Verdana"/>
          <w:sz w:val="22"/>
          <w:szCs w:val="22"/>
        </w:rPr>
        <w:t>demonstrate</w:t>
      </w:r>
      <w:r w:rsidR="005F1CB7" w:rsidRPr="003B60CC">
        <w:rPr>
          <w:rFonts w:ascii="Verdana" w:hAnsi="Verdana"/>
          <w:sz w:val="22"/>
          <w:szCs w:val="22"/>
        </w:rPr>
        <w:t xml:space="preserve"> that </w:t>
      </w:r>
      <w:r w:rsidR="001C4B70" w:rsidRPr="003B60CC">
        <w:rPr>
          <w:rFonts w:ascii="Verdana" w:hAnsi="Verdana"/>
          <w:sz w:val="22"/>
          <w:szCs w:val="22"/>
        </w:rPr>
        <w:t>the commonwealth agencies reported</w:t>
      </w:r>
      <w:r w:rsidR="005F1CB7" w:rsidRPr="003B60CC">
        <w:rPr>
          <w:rFonts w:ascii="Verdana" w:hAnsi="Verdana"/>
          <w:sz w:val="22"/>
          <w:szCs w:val="22"/>
        </w:rPr>
        <w:t xml:space="preserve"> </w:t>
      </w:r>
      <w:r w:rsidR="008D6D26" w:rsidRPr="003B60CC">
        <w:rPr>
          <w:rFonts w:ascii="Verdana" w:hAnsi="Verdana"/>
          <w:sz w:val="22"/>
          <w:szCs w:val="22"/>
        </w:rPr>
        <w:t>maturity level</w:t>
      </w:r>
      <w:r w:rsidR="005F1CB7" w:rsidRPr="003B60CC">
        <w:rPr>
          <w:rFonts w:ascii="Verdana" w:hAnsi="Verdana"/>
          <w:sz w:val="22"/>
          <w:szCs w:val="22"/>
        </w:rPr>
        <w:t xml:space="preserve">s significantly higher than the </w:t>
      </w:r>
      <w:r w:rsidR="008D6D26" w:rsidRPr="003B60CC">
        <w:rPr>
          <w:rFonts w:ascii="Verdana" w:hAnsi="Verdana"/>
          <w:sz w:val="22"/>
          <w:szCs w:val="22"/>
        </w:rPr>
        <w:t>maturity level of peer state agencies that took part in the survey in 201</w:t>
      </w:r>
      <w:r w:rsidR="00E35DEA" w:rsidRPr="003B60CC">
        <w:rPr>
          <w:rFonts w:ascii="Verdana" w:hAnsi="Verdana"/>
          <w:sz w:val="22"/>
          <w:szCs w:val="22"/>
        </w:rPr>
        <w:t>7</w:t>
      </w:r>
      <w:r w:rsidR="005F1CB7" w:rsidRPr="003B60CC">
        <w:rPr>
          <w:rFonts w:ascii="Verdana" w:hAnsi="Verdana"/>
          <w:sz w:val="22"/>
          <w:szCs w:val="22"/>
        </w:rPr>
        <w:t xml:space="preserve"> for every function in the framework</w:t>
      </w:r>
      <w:r w:rsidR="008D6D26" w:rsidRPr="003B60CC">
        <w:rPr>
          <w:rFonts w:ascii="Verdana" w:hAnsi="Verdana"/>
          <w:sz w:val="22"/>
          <w:szCs w:val="22"/>
        </w:rPr>
        <w:t xml:space="preserve">. </w:t>
      </w:r>
      <w:r w:rsidR="001C4B70" w:rsidRPr="003B60CC">
        <w:rPr>
          <w:rFonts w:ascii="Verdana" w:hAnsi="Verdana"/>
          <w:sz w:val="22"/>
          <w:szCs w:val="22"/>
        </w:rPr>
        <w:t xml:space="preserve">The most significant difference is found in the </w:t>
      </w:r>
      <w:r w:rsidR="002B773E" w:rsidRPr="003B60CC">
        <w:rPr>
          <w:rFonts w:ascii="Verdana" w:hAnsi="Verdana"/>
          <w:sz w:val="22"/>
          <w:szCs w:val="22"/>
        </w:rPr>
        <w:t>i</w:t>
      </w:r>
      <w:r w:rsidR="001C4B70" w:rsidRPr="003B60CC">
        <w:rPr>
          <w:rFonts w:ascii="Verdana" w:hAnsi="Verdana"/>
          <w:sz w:val="22"/>
          <w:szCs w:val="22"/>
        </w:rPr>
        <w:t>dentify function, where commonwealth agencies reported they were 2</w:t>
      </w:r>
      <w:r w:rsidR="00E35DEA" w:rsidRPr="003B60CC">
        <w:rPr>
          <w:rFonts w:ascii="Verdana" w:hAnsi="Verdana"/>
          <w:sz w:val="22"/>
          <w:szCs w:val="22"/>
        </w:rPr>
        <w:t>0</w:t>
      </w:r>
      <w:r w:rsidR="00A73D07">
        <w:rPr>
          <w:rFonts w:ascii="Verdana" w:hAnsi="Verdana"/>
          <w:sz w:val="22"/>
          <w:szCs w:val="22"/>
        </w:rPr>
        <w:t>%</w:t>
      </w:r>
      <w:r w:rsidR="00666052" w:rsidRPr="003B60CC">
        <w:rPr>
          <w:rFonts w:ascii="Verdana" w:hAnsi="Verdana"/>
          <w:sz w:val="22"/>
          <w:szCs w:val="22"/>
        </w:rPr>
        <w:t xml:space="preserve"> </w:t>
      </w:r>
      <w:r w:rsidR="001C4B70" w:rsidRPr="003B60CC">
        <w:rPr>
          <w:rFonts w:ascii="Verdana" w:hAnsi="Verdana"/>
          <w:sz w:val="22"/>
          <w:szCs w:val="22"/>
        </w:rPr>
        <w:t>more mature than their peer agencies on average.</w:t>
      </w:r>
    </w:p>
    <w:p w14:paraId="4C23D930" w14:textId="073C9E05" w:rsidR="008D6D26" w:rsidRPr="008C0EE2" w:rsidRDefault="001A5A9E" w:rsidP="00003EAC">
      <w:pPr>
        <w:jc w:val="center"/>
        <w:rPr>
          <w:rFonts w:ascii="Verdana" w:hAnsi="Verdana" w:cs="Times New Roman"/>
          <w:sz w:val="22"/>
          <w:szCs w:val="22"/>
          <w:highlight w:val="yellow"/>
        </w:rPr>
      </w:pPr>
      <w:r>
        <w:rPr>
          <w:noProof/>
        </w:rPr>
        <w:drawing>
          <wp:inline distT="0" distB="0" distL="0" distR="0" wp14:anchorId="3B86CF67" wp14:editId="619C5598">
            <wp:extent cx="5635256" cy="2711302"/>
            <wp:effectExtent l="0" t="0" r="381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64FE094" w14:textId="77777777" w:rsidR="008D6D26" w:rsidRPr="008C0EE2" w:rsidRDefault="008D6D26" w:rsidP="00003EAC">
      <w:pPr>
        <w:jc w:val="center"/>
        <w:rPr>
          <w:rFonts w:ascii="Verdana" w:hAnsi="Verdana" w:cs="Times New Roman"/>
          <w:sz w:val="22"/>
          <w:szCs w:val="22"/>
          <w:highlight w:val="yellow"/>
        </w:rPr>
      </w:pPr>
    </w:p>
    <w:p w14:paraId="3A769B9A" w14:textId="67022276" w:rsidR="001E2F4F" w:rsidRDefault="001E2F4F" w:rsidP="001E2F4F">
      <w:pPr>
        <w:rPr>
          <w:rFonts w:ascii="Verdana" w:eastAsiaTheme="minorHAnsi" w:hAnsi="Verdana" w:cstheme="minorBidi"/>
          <w:color w:val="auto"/>
          <w:sz w:val="20"/>
          <w:szCs w:val="20"/>
          <w:highlight w:val="yellow"/>
        </w:rPr>
      </w:pPr>
      <w:bookmarkStart w:id="26" w:name="_Toc246740291"/>
      <w:bookmarkEnd w:id="0"/>
      <w:bookmarkEnd w:id="1"/>
    </w:p>
    <w:p w14:paraId="57F0E4CE" w14:textId="7C41B1E2" w:rsidR="007F3318" w:rsidRPr="003B60CC" w:rsidRDefault="007F3318" w:rsidP="001E2F4F">
      <w:pPr>
        <w:rPr>
          <w:rFonts w:ascii="Verdana" w:eastAsiaTheme="minorHAnsi" w:hAnsi="Verdana" w:cstheme="minorHAnsi"/>
          <w:b/>
          <w:color w:val="auto"/>
        </w:rPr>
      </w:pPr>
      <w:r w:rsidRPr="003B60CC">
        <w:rPr>
          <w:rFonts w:ascii="Verdana" w:eastAsiaTheme="minorHAnsi" w:hAnsi="Verdana" w:cstheme="minorHAnsi"/>
          <w:b/>
          <w:color w:val="auto"/>
        </w:rPr>
        <w:t>C</w:t>
      </w:r>
      <w:r w:rsidR="00804138" w:rsidRPr="00804138">
        <w:rPr>
          <w:rFonts w:ascii="Verdana" w:eastAsiaTheme="minorHAnsi" w:hAnsi="Verdana" w:cstheme="minorHAnsi"/>
          <w:b/>
          <w:color w:val="auto"/>
        </w:rPr>
        <w:t xml:space="preserve">ybersecurity Framework- </w:t>
      </w:r>
      <w:r w:rsidR="00A73D07">
        <w:rPr>
          <w:rFonts w:ascii="Verdana" w:eastAsiaTheme="minorHAnsi" w:hAnsi="Verdana" w:cstheme="minorHAnsi"/>
          <w:b/>
          <w:color w:val="auto"/>
        </w:rPr>
        <w:t>a</w:t>
      </w:r>
      <w:r w:rsidR="00804138" w:rsidRPr="000E29F2">
        <w:rPr>
          <w:rFonts w:ascii="Verdana" w:eastAsiaTheme="minorHAnsi" w:hAnsi="Verdana" w:cstheme="minorHAnsi"/>
          <w:b/>
          <w:color w:val="auto"/>
        </w:rPr>
        <w:t xml:space="preserve">nalysis by </w:t>
      </w:r>
      <w:r w:rsidR="00A73D07">
        <w:rPr>
          <w:rFonts w:ascii="Verdana" w:eastAsiaTheme="minorHAnsi" w:hAnsi="Verdana" w:cstheme="minorHAnsi"/>
          <w:b/>
          <w:color w:val="auto"/>
        </w:rPr>
        <w:t>f</w:t>
      </w:r>
      <w:r w:rsidRPr="003B60CC">
        <w:rPr>
          <w:rFonts w:ascii="Verdana" w:eastAsiaTheme="minorHAnsi" w:hAnsi="Verdana" w:cstheme="minorHAnsi"/>
          <w:b/>
          <w:color w:val="auto"/>
        </w:rPr>
        <w:t>unction</w:t>
      </w:r>
    </w:p>
    <w:p w14:paraId="49346773" w14:textId="77777777" w:rsidR="0071349A" w:rsidRPr="003B60CC" w:rsidRDefault="0071349A" w:rsidP="001E2F4F">
      <w:pPr>
        <w:rPr>
          <w:rFonts w:ascii="Verdana" w:eastAsiaTheme="minorHAnsi" w:hAnsi="Verdana" w:cstheme="minorHAnsi"/>
          <w:color w:val="auto"/>
          <w:u w:val="single"/>
        </w:rPr>
      </w:pPr>
    </w:p>
    <w:p w14:paraId="1DE58AD4" w14:textId="1223961F" w:rsidR="007F3318" w:rsidRPr="003B60CC" w:rsidRDefault="007F3318" w:rsidP="001E2F4F">
      <w:pPr>
        <w:rPr>
          <w:rFonts w:ascii="Verdana" w:eastAsiaTheme="minorHAnsi" w:hAnsi="Verdana" w:cstheme="minorHAnsi"/>
          <w:b/>
          <w:color w:val="auto"/>
          <w:u w:val="single"/>
        </w:rPr>
      </w:pPr>
      <w:r w:rsidRPr="003B60CC">
        <w:rPr>
          <w:rFonts w:ascii="Verdana" w:eastAsiaTheme="minorHAnsi" w:hAnsi="Verdana" w:cstheme="minorHAnsi"/>
          <w:b/>
          <w:color w:val="auto"/>
          <w:u w:val="single"/>
        </w:rPr>
        <w:t>Identify</w:t>
      </w:r>
    </w:p>
    <w:p w14:paraId="53A0D070" w14:textId="0ED29B65" w:rsidR="00804138" w:rsidRDefault="007F3318" w:rsidP="001E2F4F">
      <w:pPr>
        <w:rPr>
          <w:rFonts w:ascii="Verdana" w:hAnsi="Verdana" w:cstheme="minorHAnsi"/>
        </w:rPr>
      </w:pPr>
      <w:r w:rsidRPr="003B60CC">
        <w:rPr>
          <w:rFonts w:ascii="Verdana" w:hAnsi="Verdana" w:cstheme="minorHAnsi"/>
        </w:rPr>
        <w:t xml:space="preserve">This function includes asset management (AM), business environment (BE), governance (GV), risk assessment (RA) risk management (RM) </w:t>
      </w:r>
      <w:r w:rsidR="009D3F92">
        <w:rPr>
          <w:rFonts w:ascii="Verdana" w:hAnsi="Verdana" w:cstheme="minorHAnsi"/>
        </w:rPr>
        <w:t>and</w:t>
      </w:r>
      <w:r w:rsidR="0037747C">
        <w:rPr>
          <w:rFonts w:ascii="Verdana" w:hAnsi="Verdana" w:cstheme="minorHAnsi"/>
        </w:rPr>
        <w:t xml:space="preserve"> </w:t>
      </w:r>
      <w:r w:rsidR="00A73D07">
        <w:rPr>
          <w:rFonts w:ascii="Verdana" w:hAnsi="Verdana" w:cstheme="minorHAnsi"/>
        </w:rPr>
        <w:t>s</w:t>
      </w:r>
      <w:r w:rsidR="0037747C">
        <w:rPr>
          <w:rFonts w:ascii="Verdana" w:hAnsi="Verdana" w:cstheme="minorHAnsi"/>
        </w:rPr>
        <w:t xml:space="preserve">upply </w:t>
      </w:r>
      <w:r w:rsidR="00A73D07">
        <w:rPr>
          <w:rFonts w:ascii="Verdana" w:hAnsi="Verdana" w:cstheme="minorHAnsi"/>
        </w:rPr>
        <w:t>c</w:t>
      </w:r>
      <w:r w:rsidR="0037747C">
        <w:rPr>
          <w:rFonts w:ascii="Verdana" w:hAnsi="Verdana" w:cstheme="minorHAnsi"/>
        </w:rPr>
        <w:t>hain</w:t>
      </w:r>
      <w:r w:rsidR="009D3F92">
        <w:rPr>
          <w:rFonts w:ascii="Verdana" w:hAnsi="Verdana" w:cstheme="minorHAnsi"/>
        </w:rPr>
        <w:t xml:space="preserve"> (SC)</w:t>
      </w:r>
      <w:r w:rsidRPr="003B60CC">
        <w:rPr>
          <w:rFonts w:ascii="Verdana" w:hAnsi="Verdana" w:cstheme="minorHAnsi"/>
        </w:rPr>
        <w:t>. In 201</w:t>
      </w:r>
      <w:r w:rsidR="002452D7">
        <w:rPr>
          <w:rFonts w:ascii="Verdana" w:hAnsi="Verdana" w:cstheme="minorHAnsi"/>
        </w:rPr>
        <w:t>8</w:t>
      </w:r>
      <w:r w:rsidRPr="003B60CC">
        <w:rPr>
          <w:rFonts w:ascii="Verdana" w:hAnsi="Verdana" w:cstheme="minorHAnsi"/>
        </w:rPr>
        <w:t>, agencies reported that the commonwealth is most mature in the</w:t>
      </w:r>
      <w:r w:rsidR="002452D7">
        <w:rPr>
          <w:rFonts w:ascii="Verdana" w:hAnsi="Verdana" w:cstheme="minorHAnsi"/>
        </w:rPr>
        <w:t xml:space="preserve"> </w:t>
      </w:r>
      <w:r w:rsidR="00531940">
        <w:rPr>
          <w:rFonts w:ascii="Verdana" w:hAnsi="Verdana" w:cstheme="minorHAnsi"/>
        </w:rPr>
        <w:t>RA</w:t>
      </w:r>
      <w:r w:rsidRPr="003B60CC">
        <w:rPr>
          <w:rFonts w:ascii="Verdana" w:hAnsi="Verdana" w:cstheme="minorHAnsi"/>
        </w:rPr>
        <w:t xml:space="preserve"> category</w:t>
      </w:r>
      <w:r w:rsidR="00286ECD">
        <w:rPr>
          <w:rFonts w:ascii="Verdana" w:hAnsi="Verdana" w:cstheme="minorHAnsi"/>
        </w:rPr>
        <w:t xml:space="preserve">.  </w:t>
      </w:r>
      <w:r w:rsidR="00286ECD" w:rsidRPr="003B60CC" w:rsidDel="00286ECD">
        <w:rPr>
          <w:rFonts w:ascii="Verdana" w:hAnsi="Verdana" w:cstheme="minorHAnsi"/>
        </w:rPr>
        <w:t xml:space="preserve"> </w:t>
      </w:r>
    </w:p>
    <w:p w14:paraId="53C33DF2" w14:textId="1F263968" w:rsidR="00804138" w:rsidRDefault="00804138" w:rsidP="003B60CC">
      <w:pPr>
        <w:jc w:val="center"/>
        <w:rPr>
          <w:rFonts w:ascii="Verdana" w:hAnsi="Verdana" w:cstheme="minorHAnsi"/>
        </w:rPr>
      </w:pPr>
      <w:r>
        <w:rPr>
          <w:noProof/>
        </w:rPr>
        <w:drawing>
          <wp:inline distT="0" distB="0" distL="0" distR="0" wp14:anchorId="227CF911" wp14:editId="1CB045D9">
            <wp:extent cx="5657850" cy="3108960"/>
            <wp:effectExtent l="0" t="0" r="0" b="0"/>
            <wp:docPr id="684" name="Chart 68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8750FA5" w14:textId="23B87834" w:rsidR="00804138" w:rsidRDefault="00804138" w:rsidP="001E2F4F">
      <w:pPr>
        <w:rPr>
          <w:rFonts w:ascii="Verdana" w:hAnsi="Verdana" w:cstheme="minorHAnsi"/>
        </w:rPr>
      </w:pPr>
    </w:p>
    <w:p w14:paraId="6616C6BC" w14:textId="77777777" w:rsidR="00C64B04" w:rsidRDefault="00C64B04" w:rsidP="001E2F4F">
      <w:pPr>
        <w:rPr>
          <w:rFonts w:ascii="Verdana" w:hAnsi="Verdana" w:cstheme="minorHAnsi"/>
          <w:b/>
        </w:rPr>
      </w:pPr>
    </w:p>
    <w:p w14:paraId="76E830E3" w14:textId="045FB105" w:rsidR="00804138" w:rsidRPr="003B60CC" w:rsidRDefault="00804138" w:rsidP="001E2F4F">
      <w:pPr>
        <w:rPr>
          <w:rFonts w:ascii="Verdana" w:hAnsi="Verdana" w:cstheme="minorHAnsi"/>
          <w:b/>
        </w:rPr>
      </w:pPr>
      <w:bookmarkStart w:id="27" w:name="_GoBack"/>
      <w:bookmarkEnd w:id="27"/>
      <w:r w:rsidRPr="003B60CC">
        <w:rPr>
          <w:rFonts w:ascii="Verdana" w:hAnsi="Verdana" w:cstheme="minorHAnsi"/>
          <w:b/>
        </w:rPr>
        <w:t>Protect</w:t>
      </w:r>
    </w:p>
    <w:p w14:paraId="402D5AEF" w14:textId="40A03640" w:rsidR="00804138" w:rsidRPr="00804138" w:rsidRDefault="00804138" w:rsidP="00804138">
      <w:pPr>
        <w:rPr>
          <w:rFonts w:ascii="Verdana" w:hAnsi="Verdana" w:cstheme="minorHAnsi"/>
        </w:rPr>
      </w:pPr>
      <w:r w:rsidRPr="003B60CC">
        <w:rPr>
          <w:rFonts w:ascii="Verdana" w:hAnsi="Verdana"/>
        </w:rPr>
        <w:t>This function includes access control (AC), awareness and training (AT), data security (DS), information protection processes and procedures (IP), maintenance (MA) and protective technology (PT). Agencies report they were strongest in the AC category and the weakest in the IP category. CSRM will continue to support agencies as they develop in that area.</w:t>
      </w:r>
    </w:p>
    <w:p w14:paraId="66BAAE2D" w14:textId="5F6FE708" w:rsidR="00804138" w:rsidRDefault="00804138" w:rsidP="001E2F4F">
      <w:pPr>
        <w:rPr>
          <w:rFonts w:ascii="Verdana" w:hAnsi="Verdana" w:cstheme="minorHAnsi"/>
        </w:rPr>
      </w:pPr>
    </w:p>
    <w:p w14:paraId="62FF1843" w14:textId="77777777" w:rsidR="00804138" w:rsidRDefault="00804138" w:rsidP="003B60CC">
      <w:pPr>
        <w:jc w:val="center"/>
        <w:rPr>
          <w:rFonts w:ascii="Verdana" w:hAnsi="Verdana" w:cstheme="minorHAnsi"/>
        </w:rPr>
      </w:pPr>
      <w:r w:rsidRPr="003B60CC">
        <w:rPr>
          <w:rFonts w:ascii="Verdana" w:hAnsi="Verdana"/>
          <w:noProof/>
          <w:sz w:val="22"/>
          <w:szCs w:val="22"/>
        </w:rPr>
        <w:drawing>
          <wp:inline distT="0" distB="0" distL="0" distR="0" wp14:anchorId="4712F83C" wp14:editId="4F6D48AA">
            <wp:extent cx="5743575" cy="3108960"/>
            <wp:effectExtent l="0" t="0" r="0" b="0"/>
            <wp:docPr id="690" name="Chart 6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FEB1F77" w14:textId="3BE8755C" w:rsidR="00804138" w:rsidRDefault="00804138" w:rsidP="001E2F4F">
      <w:pPr>
        <w:rPr>
          <w:rFonts w:ascii="Verdana" w:hAnsi="Verdana" w:cstheme="minorHAnsi"/>
        </w:rPr>
      </w:pPr>
    </w:p>
    <w:p w14:paraId="16CA80D5" w14:textId="0359EC2B" w:rsidR="00804138" w:rsidRPr="003B60CC" w:rsidRDefault="00804138" w:rsidP="001E2F4F">
      <w:pPr>
        <w:rPr>
          <w:rFonts w:ascii="Verdana" w:hAnsi="Verdana" w:cstheme="minorHAnsi"/>
          <w:b/>
        </w:rPr>
      </w:pPr>
      <w:r w:rsidRPr="003B60CC">
        <w:rPr>
          <w:rFonts w:ascii="Verdana" w:hAnsi="Verdana" w:cstheme="minorHAnsi"/>
          <w:b/>
        </w:rPr>
        <w:t>Detect</w:t>
      </w:r>
    </w:p>
    <w:p w14:paraId="2BC5E3B9" w14:textId="5D4E16CE" w:rsidR="00804138" w:rsidRDefault="00804138" w:rsidP="001E2F4F">
      <w:pPr>
        <w:rPr>
          <w:rFonts w:ascii="Verdana" w:hAnsi="Verdana"/>
        </w:rPr>
      </w:pPr>
      <w:r w:rsidRPr="003B60CC">
        <w:rPr>
          <w:rFonts w:ascii="Verdana" w:hAnsi="Verdana"/>
        </w:rPr>
        <w:t>This function includes categories for anomalies and events (AE), security continuous monitoring (CM) and detection processes (DP). Agencies reported that the CM category was the most mature and the AE was the least mature part of this function, indicating that agencies were less confident that anomalies would be identified timely. New enterprise partners and updated security tools should result in further improvement in this area.</w:t>
      </w:r>
    </w:p>
    <w:p w14:paraId="23E9834E" w14:textId="7FE83489" w:rsidR="00804138" w:rsidRDefault="00804138" w:rsidP="003B60CC">
      <w:pPr>
        <w:jc w:val="center"/>
        <w:rPr>
          <w:rFonts w:ascii="Verdana" w:hAnsi="Verdana" w:cstheme="minorHAnsi"/>
        </w:rPr>
      </w:pPr>
      <w:r>
        <w:rPr>
          <w:noProof/>
        </w:rPr>
        <w:drawing>
          <wp:inline distT="0" distB="0" distL="0" distR="0" wp14:anchorId="0A85DA60" wp14:editId="0E554647">
            <wp:extent cx="5669280" cy="3108960"/>
            <wp:effectExtent l="0" t="0" r="7620" b="0"/>
            <wp:docPr id="691" name="Chart 6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A346622" w14:textId="0BB3B698" w:rsidR="00804138" w:rsidRDefault="00804138" w:rsidP="001E2F4F">
      <w:pPr>
        <w:rPr>
          <w:rFonts w:ascii="Verdana" w:hAnsi="Verdana" w:cstheme="minorHAnsi"/>
        </w:rPr>
      </w:pPr>
    </w:p>
    <w:p w14:paraId="087094E0" w14:textId="4632B2C1" w:rsidR="00804138" w:rsidRPr="003B60CC" w:rsidRDefault="00804138" w:rsidP="001E2F4F">
      <w:pPr>
        <w:rPr>
          <w:rFonts w:ascii="Verdana" w:hAnsi="Verdana" w:cstheme="minorHAnsi"/>
          <w:b/>
        </w:rPr>
      </w:pPr>
      <w:r w:rsidRPr="003B60CC">
        <w:rPr>
          <w:rFonts w:ascii="Verdana" w:hAnsi="Verdana" w:cstheme="minorHAnsi"/>
          <w:b/>
        </w:rPr>
        <w:t>Respond</w:t>
      </w:r>
    </w:p>
    <w:p w14:paraId="22007F64" w14:textId="4CBFFBAC" w:rsidR="00804138" w:rsidRDefault="00804138" w:rsidP="001E2F4F">
      <w:pPr>
        <w:rPr>
          <w:rFonts w:ascii="Verdana" w:hAnsi="Verdana"/>
        </w:rPr>
      </w:pPr>
      <w:r w:rsidRPr="003B60CC">
        <w:rPr>
          <w:rFonts w:ascii="Verdana" w:hAnsi="Verdana"/>
        </w:rPr>
        <w:t xml:space="preserve">The categories for respond (RS) are response planning (RP), communications (CO), analysis (AN), mitigations (MI) and improvements (IM). The agencies reported that they are strongest on average in the MI category and indicated that the </w:t>
      </w:r>
      <w:r w:rsidR="0037747C">
        <w:rPr>
          <w:rFonts w:ascii="Verdana" w:hAnsi="Verdana"/>
        </w:rPr>
        <w:t>IM</w:t>
      </w:r>
      <w:r w:rsidRPr="003B60CC">
        <w:rPr>
          <w:rFonts w:ascii="Verdana" w:hAnsi="Verdana"/>
        </w:rPr>
        <w:t xml:space="preserve"> category was the least mature category in the function. </w:t>
      </w:r>
      <w:r w:rsidR="00FE7AF4">
        <w:rPr>
          <w:rFonts w:ascii="Verdana" w:hAnsi="Verdana"/>
        </w:rPr>
        <w:t xml:space="preserve">CSRM will continue to support agencies as they </w:t>
      </w:r>
      <w:r w:rsidR="00284778">
        <w:rPr>
          <w:rFonts w:ascii="Verdana" w:hAnsi="Verdana"/>
        </w:rPr>
        <w:t>progress</w:t>
      </w:r>
      <w:r w:rsidR="00FE7AF4">
        <w:rPr>
          <w:rFonts w:ascii="Verdana" w:hAnsi="Verdana"/>
        </w:rPr>
        <w:t xml:space="preserve"> in this area.</w:t>
      </w:r>
    </w:p>
    <w:p w14:paraId="0B84BDA7" w14:textId="7B16F7F8" w:rsidR="00804138" w:rsidRDefault="00804138" w:rsidP="001E2F4F">
      <w:pPr>
        <w:rPr>
          <w:rFonts w:ascii="Verdana" w:hAnsi="Verdana"/>
        </w:rPr>
      </w:pPr>
    </w:p>
    <w:p w14:paraId="3B33E615" w14:textId="5D57FB44" w:rsidR="00804138" w:rsidRDefault="00804138" w:rsidP="003B60CC">
      <w:pPr>
        <w:jc w:val="center"/>
        <w:rPr>
          <w:rFonts w:ascii="Verdana" w:hAnsi="Verdana" w:cstheme="minorHAnsi"/>
        </w:rPr>
      </w:pPr>
      <w:r>
        <w:rPr>
          <w:noProof/>
        </w:rPr>
        <w:drawing>
          <wp:inline distT="0" distB="0" distL="0" distR="0" wp14:anchorId="5143B1D1" wp14:editId="185ABC3C">
            <wp:extent cx="5669280" cy="3108960"/>
            <wp:effectExtent l="0" t="0" r="7620" b="0"/>
            <wp:docPr id="692" name="Chart 6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34F5053" w14:textId="48A260E8" w:rsidR="00804138" w:rsidRDefault="00804138" w:rsidP="001E2F4F">
      <w:pPr>
        <w:rPr>
          <w:rFonts w:ascii="Verdana" w:hAnsi="Verdana" w:cstheme="minorHAnsi"/>
        </w:rPr>
      </w:pPr>
    </w:p>
    <w:p w14:paraId="186C8DB5" w14:textId="283FA2AC" w:rsidR="00804138" w:rsidRDefault="00804138" w:rsidP="001E2F4F">
      <w:pPr>
        <w:rPr>
          <w:rFonts w:ascii="Verdana" w:hAnsi="Verdana" w:cstheme="minorHAnsi"/>
          <w:b/>
        </w:rPr>
      </w:pPr>
      <w:r w:rsidRPr="003B60CC">
        <w:rPr>
          <w:rFonts w:ascii="Verdana" w:hAnsi="Verdana" w:cstheme="minorHAnsi"/>
          <w:b/>
        </w:rPr>
        <w:t>Recover</w:t>
      </w:r>
    </w:p>
    <w:p w14:paraId="2C50796D" w14:textId="7C26C3EE" w:rsidR="00804138" w:rsidRDefault="00804138" w:rsidP="001E2F4F">
      <w:pPr>
        <w:rPr>
          <w:rFonts w:ascii="Verdana" w:hAnsi="Verdana"/>
        </w:rPr>
      </w:pPr>
      <w:r w:rsidRPr="003B60CC">
        <w:rPr>
          <w:rFonts w:ascii="Verdana" w:hAnsi="Verdana"/>
        </w:rPr>
        <w:t>This function includes recovery planning (RP), improvements (IM) and communications (CO). The results were very similar for all of the categories, with the RP category being slightly more mature and IM being slightly less mature than the other categories. The overall recover function needs improvement to reach the desired level for the commonwealth.</w:t>
      </w:r>
    </w:p>
    <w:p w14:paraId="14E8F5BA" w14:textId="4F63310A" w:rsidR="00804138" w:rsidRDefault="00804138" w:rsidP="001E2F4F">
      <w:pPr>
        <w:rPr>
          <w:rFonts w:ascii="Verdana" w:hAnsi="Verdana"/>
        </w:rPr>
      </w:pPr>
    </w:p>
    <w:p w14:paraId="2B5D28F2" w14:textId="1A11D73D" w:rsidR="00B37E14" w:rsidRDefault="00804138" w:rsidP="003B60CC">
      <w:pPr>
        <w:jc w:val="center"/>
        <w:rPr>
          <w:rFonts w:ascii="Verdana" w:hAnsi="Verdana" w:cstheme="minorHAnsi"/>
          <w:b/>
        </w:rPr>
      </w:pPr>
      <w:r>
        <w:rPr>
          <w:noProof/>
        </w:rPr>
        <w:drawing>
          <wp:inline distT="0" distB="0" distL="0" distR="0" wp14:anchorId="1C32F203" wp14:editId="56798CAF">
            <wp:extent cx="5669280" cy="3108960"/>
            <wp:effectExtent l="0" t="0" r="7620" b="0"/>
            <wp:docPr id="693" name="Chart 69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97AF64F" w14:textId="77777777" w:rsidR="00B37E14" w:rsidRDefault="00B37E14">
      <w:pPr>
        <w:spacing w:after="200" w:line="276" w:lineRule="auto"/>
        <w:rPr>
          <w:rFonts w:ascii="Verdana" w:hAnsi="Verdana" w:cstheme="minorHAnsi"/>
          <w:b/>
        </w:rPr>
      </w:pPr>
      <w:r>
        <w:rPr>
          <w:rFonts w:ascii="Verdana" w:hAnsi="Verdana" w:cstheme="minorHAnsi"/>
          <w:b/>
        </w:rPr>
        <w:br w:type="page"/>
      </w:r>
    </w:p>
    <w:p w14:paraId="4AF57D9B" w14:textId="3BAA7D09" w:rsidR="00EE33C8" w:rsidRPr="00D075FF" w:rsidRDefault="00EE33C8" w:rsidP="00D075FF">
      <w:pPr>
        <w:pStyle w:val="Heading1"/>
        <w:rPr>
          <w:rFonts w:ascii="Verdana" w:hAnsi="Verdana"/>
          <w:sz w:val="24"/>
        </w:rPr>
      </w:pPr>
      <w:bookmarkStart w:id="28" w:name="_Toc14262289"/>
      <w:r w:rsidRPr="00D075FF">
        <w:rPr>
          <w:rFonts w:ascii="Verdana" w:hAnsi="Verdana"/>
          <w:sz w:val="24"/>
        </w:rPr>
        <w:t xml:space="preserve">Appendix I –Agency </w:t>
      </w:r>
      <w:r w:rsidR="002B773E" w:rsidRPr="00D075FF">
        <w:rPr>
          <w:rFonts w:ascii="Verdana" w:hAnsi="Verdana"/>
          <w:sz w:val="24"/>
        </w:rPr>
        <w:t>c</w:t>
      </w:r>
      <w:r w:rsidRPr="00D075FF">
        <w:rPr>
          <w:rFonts w:ascii="Verdana" w:hAnsi="Verdana"/>
          <w:sz w:val="24"/>
        </w:rPr>
        <w:t xml:space="preserve">ompliance </w:t>
      </w:r>
      <w:r w:rsidR="002B773E" w:rsidRPr="00D075FF">
        <w:rPr>
          <w:rFonts w:ascii="Verdana" w:hAnsi="Verdana"/>
          <w:sz w:val="24"/>
        </w:rPr>
        <w:t>r</w:t>
      </w:r>
      <w:r w:rsidRPr="00D075FF">
        <w:rPr>
          <w:rFonts w:ascii="Verdana" w:hAnsi="Verdana"/>
          <w:sz w:val="24"/>
        </w:rPr>
        <w:t xml:space="preserve">eport </w:t>
      </w:r>
      <w:r w:rsidR="002B773E" w:rsidRPr="00D075FF">
        <w:rPr>
          <w:rFonts w:ascii="Verdana" w:hAnsi="Verdana"/>
          <w:sz w:val="24"/>
        </w:rPr>
        <w:t>c</w:t>
      </w:r>
      <w:r w:rsidRPr="00D075FF">
        <w:rPr>
          <w:rFonts w:ascii="Verdana" w:hAnsi="Verdana"/>
          <w:sz w:val="24"/>
        </w:rPr>
        <w:t>ard</w:t>
      </w:r>
      <w:bookmarkEnd w:id="28"/>
      <w:r w:rsidRPr="00D075FF">
        <w:rPr>
          <w:rFonts w:ascii="Verdana" w:hAnsi="Verdana"/>
          <w:sz w:val="24"/>
        </w:rPr>
        <w:t xml:space="preserve"> </w:t>
      </w:r>
    </w:p>
    <w:tbl>
      <w:tblPr>
        <w:tblW w:w="3673" w:type="pct"/>
        <w:tblLook w:val="04A0" w:firstRow="1" w:lastRow="0" w:firstColumn="1" w:lastColumn="0" w:noHBand="0" w:noVBand="1"/>
      </w:tblPr>
      <w:tblGrid>
        <w:gridCol w:w="436"/>
        <w:gridCol w:w="2855"/>
        <w:gridCol w:w="1106"/>
        <w:gridCol w:w="1040"/>
        <w:gridCol w:w="1296"/>
        <w:gridCol w:w="1359"/>
      </w:tblGrid>
      <w:tr w:rsidR="00B31120" w:rsidRPr="00B31120" w14:paraId="6F870FC4" w14:textId="77777777" w:rsidTr="00B31120">
        <w:trPr>
          <w:trHeight w:val="900"/>
          <w:tblHeader/>
        </w:trPr>
        <w:tc>
          <w:tcPr>
            <w:tcW w:w="269" w:type="pct"/>
            <w:tcBorders>
              <w:top w:val="nil"/>
              <w:left w:val="nil"/>
              <w:bottom w:val="nil"/>
              <w:right w:val="nil"/>
            </w:tcBorders>
            <w:shd w:val="clear" w:color="auto" w:fill="auto"/>
            <w:vAlign w:val="center"/>
            <w:hideMark/>
          </w:tcPr>
          <w:p w14:paraId="5C7970FD" w14:textId="77777777" w:rsidR="00B31120" w:rsidRPr="00B31120" w:rsidRDefault="00B31120" w:rsidP="00B31120">
            <w:pPr>
              <w:jc w:val="center"/>
              <w:rPr>
                <w:rFonts w:ascii="Calibri" w:hAnsi="Calibri" w:cs="Calibri"/>
                <w:sz w:val="22"/>
                <w:szCs w:val="22"/>
              </w:rPr>
            </w:pPr>
          </w:p>
        </w:tc>
        <w:tc>
          <w:tcPr>
            <w:tcW w:w="1764"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9F0837C" w14:textId="77777777" w:rsidR="00B31120" w:rsidRPr="00B31120" w:rsidRDefault="00B31120" w:rsidP="00B31120">
            <w:pPr>
              <w:rPr>
                <w:rFonts w:ascii="Calibri" w:hAnsi="Calibri" w:cs="Calibri"/>
                <w:b/>
                <w:bCs/>
                <w:sz w:val="22"/>
                <w:szCs w:val="22"/>
              </w:rPr>
            </w:pPr>
            <w:r w:rsidRPr="00B31120">
              <w:rPr>
                <w:rFonts w:ascii="Calibri" w:hAnsi="Calibri" w:cs="Calibri"/>
                <w:b/>
                <w:bCs/>
                <w:sz w:val="22"/>
                <w:szCs w:val="22"/>
              </w:rPr>
              <w:t>Agency Secretariat</w:t>
            </w:r>
          </w:p>
        </w:tc>
        <w:tc>
          <w:tcPr>
            <w:tcW w:w="683" w:type="pct"/>
            <w:tcBorders>
              <w:top w:val="single" w:sz="4" w:space="0" w:color="auto"/>
              <w:left w:val="nil"/>
              <w:bottom w:val="single" w:sz="4" w:space="0" w:color="auto"/>
              <w:right w:val="single" w:sz="4" w:space="0" w:color="auto"/>
            </w:tcBorders>
            <w:shd w:val="clear" w:color="000000" w:fill="D9D9D9"/>
            <w:vAlign w:val="center"/>
            <w:hideMark/>
          </w:tcPr>
          <w:p w14:paraId="5AF10343" w14:textId="77777777" w:rsidR="00B31120" w:rsidRPr="00B31120" w:rsidRDefault="00B31120" w:rsidP="00B31120">
            <w:pPr>
              <w:jc w:val="center"/>
              <w:rPr>
                <w:rFonts w:ascii="Calibri" w:hAnsi="Calibri" w:cs="Calibri"/>
                <w:b/>
                <w:bCs/>
                <w:sz w:val="22"/>
                <w:szCs w:val="22"/>
              </w:rPr>
            </w:pPr>
            <w:r w:rsidRPr="00B31120">
              <w:rPr>
                <w:rFonts w:ascii="Calibri" w:hAnsi="Calibri" w:cs="Calibri"/>
                <w:b/>
                <w:bCs/>
                <w:sz w:val="22"/>
                <w:szCs w:val="22"/>
              </w:rPr>
              <w:t>Audit or ISO Services?</w:t>
            </w:r>
          </w:p>
        </w:tc>
        <w:tc>
          <w:tcPr>
            <w:tcW w:w="643" w:type="pct"/>
            <w:tcBorders>
              <w:top w:val="single" w:sz="4" w:space="0" w:color="auto"/>
              <w:left w:val="nil"/>
              <w:bottom w:val="single" w:sz="4" w:space="0" w:color="auto"/>
              <w:right w:val="single" w:sz="4" w:space="0" w:color="auto"/>
            </w:tcBorders>
            <w:shd w:val="clear" w:color="000000" w:fill="D9D9D9"/>
            <w:vAlign w:val="bottom"/>
            <w:hideMark/>
          </w:tcPr>
          <w:p w14:paraId="6B170BA9" w14:textId="77777777" w:rsidR="00B31120" w:rsidRPr="00B31120" w:rsidRDefault="00B31120" w:rsidP="00B31120">
            <w:pPr>
              <w:rPr>
                <w:rFonts w:ascii="Calibri" w:hAnsi="Calibri" w:cs="Calibri"/>
                <w:b/>
                <w:bCs/>
                <w:sz w:val="22"/>
                <w:szCs w:val="22"/>
              </w:rPr>
            </w:pPr>
            <w:r w:rsidRPr="00B31120">
              <w:rPr>
                <w:rFonts w:ascii="Calibri" w:hAnsi="Calibri" w:cs="Calibri"/>
                <w:b/>
                <w:bCs/>
                <w:sz w:val="22"/>
                <w:szCs w:val="22"/>
              </w:rPr>
              <w:t>Agency Acronym</w:t>
            </w:r>
          </w:p>
        </w:tc>
        <w:tc>
          <w:tcPr>
            <w:tcW w:w="801" w:type="pct"/>
            <w:tcBorders>
              <w:top w:val="single" w:sz="4" w:space="0" w:color="auto"/>
              <w:left w:val="nil"/>
              <w:bottom w:val="single" w:sz="4" w:space="0" w:color="auto"/>
              <w:right w:val="single" w:sz="4" w:space="0" w:color="auto"/>
            </w:tcBorders>
            <w:shd w:val="clear" w:color="000000" w:fill="D9D9D9"/>
            <w:vAlign w:val="center"/>
            <w:hideMark/>
          </w:tcPr>
          <w:p w14:paraId="665B002E" w14:textId="77777777" w:rsidR="00B31120" w:rsidRPr="00B31120" w:rsidRDefault="00B31120" w:rsidP="00B31120">
            <w:pPr>
              <w:jc w:val="center"/>
              <w:rPr>
                <w:rFonts w:ascii="Calibri" w:hAnsi="Calibri" w:cs="Calibri"/>
                <w:b/>
                <w:bCs/>
                <w:sz w:val="22"/>
                <w:szCs w:val="22"/>
              </w:rPr>
            </w:pPr>
            <w:r w:rsidRPr="00B31120">
              <w:rPr>
                <w:rFonts w:ascii="Calibri" w:hAnsi="Calibri" w:cs="Calibri"/>
                <w:b/>
                <w:bCs/>
                <w:sz w:val="22"/>
                <w:szCs w:val="22"/>
              </w:rPr>
              <w:t>Audit Compliance Grade</w:t>
            </w:r>
          </w:p>
        </w:tc>
        <w:tc>
          <w:tcPr>
            <w:tcW w:w="840" w:type="pct"/>
            <w:tcBorders>
              <w:top w:val="single" w:sz="4" w:space="0" w:color="auto"/>
              <w:left w:val="nil"/>
              <w:bottom w:val="single" w:sz="4" w:space="0" w:color="auto"/>
              <w:right w:val="single" w:sz="4" w:space="0" w:color="auto"/>
            </w:tcBorders>
            <w:shd w:val="clear" w:color="000000" w:fill="D9D9D9"/>
            <w:vAlign w:val="center"/>
            <w:hideMark/>
          </w:tcPr>
          <w:p w14:paraId="4C22D660" w14:textId="77777777" w:rsidR="00B31120" w:rsidRPr="00B31120" w:rsidRDefault="00B31120" w:rsidP="00B31120">
            <w:pPr>
              <w:jc w:val="center"/>
              <w:rPr>
                <w:rFonts w:ascii="Calibri" w:hAnsi="Calibri" w:cs="Calibri"/>
                <w:b/>
                <w:bCs/>
                <w:sz w:val="22"/>
                <w:szCs w:val="22"/>
              </w:rPr>
            </w:pPr>
            <w:r w:rsidRPr="00B31120">
              <w:rPr>
                <w:rFonts w:ascii="Calibri" w:hAnsi="Calibri" w:cs="Calibri"/>
                <w:b/>
                <w:bCs/>
                <w:sz w:val="22"/>
                <w:szCs w:val="22"/>
              </w:rPr>
              <w:t>Risk Compliance Grade</w:t>
            </w:r>
          </w:p>
        </w:tc>
      </w:tr>
      <w:tr w:rsidR="00B31120" w:rsidRPr="00B31120" w14:paraId="08604D4B" w14:textId="77777777" w:rsidTr="00B31120">
        <w:trPr>
          <w:trHeight w:val="300"/>
        </w:trPr>
        <w:tc>
          <w:tcPr>
            <w:tcW w:w="269" w:type="pct"/>
            <w:tcBorders>
              <w:top w:val="nil"/>
              <w:left w:val="nil"/>
              <w:bottom w:val="nil"/>
              <w:right w:val="nil"/>
            </w:tcBorders>
            <w:shd w:val="clear" w:color="auto" w:fill="auto"/>
            <w:vAlign w:val="bottom"/>
            <w:hideMark/>
          </w:tcPr>
          <w:p w14:paraId="2B74CBD0"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3ABBBCE9"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Administration</w:t>
            </w:r>
          </w:p>
        </w:tc>
        <w:tc>
          <w:tcPr>
            <w:tcW w:w="683" w:type="pct"/>
            <w:tcBorders>
              <w:top w:val="nil"/>
              <w:left w:val="nil"/>
              <w:bottom w:val="single" w:sz="4" w:space="0" w:color="auto"/>
              <w:right w:val="single" w:sz="4" w:space="0" w:color="auto"/>
            </w:tcBorders>
            <w:shd w:val="clear" w:color="auto" w:fill="auto"/>
            <w:noWrap/>
            <w:vAlign w:val="bottom"/>
            <w:hideMark/>
          </w:tcPr>
          <w:p w14:paraId="4F4B0206"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185E3557"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CB</w:t>
            </w:r>
          </w:p>
        </w:tc>
        <w:tc>
          <w:tcPr>
            <w:tcW w:w="801" w:type="pct"/>
            <w:tcBorders>
              <w:top w:val="nil"/>
              <w:left w:val="nil"/>
              <w:bottom w:val="single" w:sz="4" w:space="0" w:color="auto"/>
              <w:right w:val="single" w:sz="4" w:space="0" w:color="auto"/>
            </w:tcBorders>
            <w:shd w:val="clear" w:color="auto" w:fill="auto"/>
            <w:vAlign w:val="center"/>
            <w:hideMark/>
          </w:tcPr>
          <w:p w14:paraId="0124D6DD" w14:textId="77777777" w:rsidR="00B31120" w:rsidRPr="00B31120" w:rsidRDefault="00B31120" w:rsidP="00B31120">
            <w:pPr>
              <w:jc w:val="center"/>
              <w:rPr>
                <w:rFonts w:ascii="Calibri" w:hAnsi="Calibri" w:cs="Calibri"/>
                <w:sz w:val="22"/>
                <w:szCs w:val="22"/>
              </w:rPr>
            </w:pPr>
            <w:bookmarkStart w:id="29" w:name="RANGE!G2:G79"/>
            <w:r w:rsidRPr="00B31120">
              <w:rPr>
                <w:rFonts w:ascii="Calibri" w:hAnsi="Calibri" w:cs="Calibri"/>
                <w:sz w:val="22"/>
                <w:szCs w:val="22"/>
              </w:rPr>
              <w:t>D</w:t>
            </w:r>
            <w:bookmarkEnd w:id="29"/>
          </w:p>
        </w:tc>
        <w:tc>
          <w:tcPr>
            <w:tcW w:w="840" w:type="pct"/>
            <w:tcBorders>
              <w:top w:val="nil"/>
              <w:left w:val="nil"/>
              <w:bottom w:val="single" w:sz="4" w:space="0" w:color="auto"/>
              <w:right w:val="single" w:sz="4" w:space="0" w:color="auto"/>
            </w:tcBorders>
            <w:shd w:val="clear" w:color="auto" w:fill="auto"/>
            <w:vAlign w:val="center"/>
            <w:hideMark/>
          </w:tcPr>
          <w:p w14:paraId="7D53869E" w14:textId="77777777" w:rsidR="00B31120" w:rsidRPr="00B31120" w:rsidRDefault="00B31120" w:rsidP="00B31120">
            <w:pPr>
              <w:jc w:val="center"/>
              <w:rPr>
                <w:rFonts w:ascii="Calibri" w:hAnsi="Calibri" w:cs="Calibri"/>
                <w:sz w:val="22"/>
                <w:szCs w:val="22"/>
              </w:rPr>
            </w:pPr>
            <w:bookmarkStart w:id="30" w:name="RANGE!H2:H79"/>
            <w:r w:rsidRPr="00B31120">
              <w:rPr>
                <w:rFonts w:ascii="Calibri" w:hAnsi="Calibri" w:cs="Calibri"/>
                <w:sz w:val="22"/>
                <w:szCs w:val="22"/>
              </w:rPr>
              <w:t>A</w:t>
            </w:r>
            <w:bookmarkEnd w:id="30"/>
          </w:p>
        </w:tc>
      </w:tr>
      <w:tr w:rsidR="00B31120" w:rsidRPr="00B31120" w14:paraId="52DD7D23" w14:textId="77777777" w:rsidTr="00B31120">
        <w:trPr>
          <w:trHeight w:val="900"/>
        </w:trPr>
        <w:tc>
          <w:tcPr>
            <w:tcW w:w="269" w:type="pct"/>
            <w:tcBorders>
              <w:top w:val="nil"/>
              <w:left w:val="nil"/>
              <w:bottom w:val="nil"/>
              <w:right w:val="nil"/>
            </w:tcBorders>
            <w:shd w:val="clear" w:color="auto" w:fill="auto"/>
            <w:vAlign w:val="bottom"/>
            <w:hideMark/>
          </w:tcPr>
          <w:p w14:paraId="7181F8DB"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2234D5C2"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Administration</w:t>
            </w:r>
          </w:p>
        </w:tc>
        <w:tc>
          <w:tcPr>
            <w:tcW w:w="683" w:type="pct"/>
            <w:tcBorders>
              <w:top w:val="nil"/>
              <w:left w:val="nil"/>
              <w:bottom w:val="single" w:sz="4" w:space="0" w:color="auto"/>
              <w:right w:val="single" w:sz="4" w:space="0" w:color="auto"/>
            </w:tcBorders>
            <w:shd w:val="clear" w:color="auto" w:fill="auto"/>
            <w:noWrap/>
            <w:vAlign w:val="bottom"/>
            <w:hideMark/>
          </w:tcPr>
          <w:p w14:paraId="5FF9320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76019D2B"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DGS</w:t>
            </w:r>
          </w:p>
        </w:tc>
        <w:tc>
          <w:tcPr>
            <w:tcW w:w="801" w:type="pct"/>
            <w:tcBorders>
              <w:top w:val="nil"/>
              <w:left w:val="nil"/>
              <w:bottom w:val="single" w:sz="4" w:space="0" w:color="auto"/>
              <w:right w:val="single" w:sz="4" w:space="0" w:color="auto"/>
            </w:tcBorders>
            <w:shd w:val="clear" w:color="auto" w:fill="auto"/>
            <w:vAlign w:val="center"/>
            <w:hideMark/>
          </w:tcPr>
          <w:p w14:paraId="46E8AA62" w14:textId="77777777" w:rsidR="00B31120" w:rsidRPr="00B31120" w:rsidRDefault="00B31120" w:rsidP="00B31120">
            <w:pPr>
              <w:jc w:val="center"/>
              <w:rPr>
                <w:rFonts w:ascii="Calibri" w:hAnsi="Calibri" w:cs="Calibri"/>
                <w:sz w:val="22"/>
                <w:szCs w:val="22"/>
              </w:rPr>
            </w:pPr>
            <w:bookmarkStart w:id="31" w:name="RANGE!G3:G79"/>
            <w:r w:rsidRPr="00B31120">
              <w:rPr>
                <w:rFonts w:ascii="Calibri" w:hAnsi="Calibri" w:cs="Calibri"/>
                <w:sz w:val="22"/>
                <w:szCs w:val="22"/>
              </w:rPr>
              <w:t>A</w:t>
            </w:r>
            <w:bookmarkEnd w:id="31"/>
          </w:p>
        </w:tc>
        <w:tc>
          <w:tcPr>
            <w:tcW w:w="840" w:type="pct"/>
            <w:tcBorders>
              <w:top w:val="nil"/>
              <w:left w:val="nil"/>
              <w:bottom w:val="single" w:sz="4" w:space="0" w:color="auto"/>
              <w:right w:val="single" w:sz="4" w:space="0" w:color="auto"/>
            </w:tcBorders>
            <w:shd w:val="clear" w:color="auto" w:fill="auto"/>
            <w:vAlign w:val="center"/>
            <w:hideMark/>
          </w:tcPr>
          <w:p w14:paraId="66DD4CF0" w14:textId="77777777" w:rsidR="00B31120" w:rsidRPr="00B31120" w:rsidRDefault="00B31120" w:rsidP="00B31120">
            <w:pPr>
              <w:jc w:val="center"/>
              <w:rPr>
                <w:rFonts w:ascii="Calibri" w:hAnsi="Calibri" w:cs="Calibri"/>
                <w:sz w:val="22"/>
                <w:szCs w:val="22"/>
              </w:rPr>
            </w:pPr>
            <w:bookmarkStart w:id="32" w:name="RANGE!H3:H79"/>
            <w:r w:rsidRPr="00B31120">
              <w:rPr>
                <w:rFonts w:ascii="Calibri" w:hAnsi="Calibri" w:cs="Calibri"/>
                <w:sz w:val="22"/>
                <w:szCs w:val="22"/>
              </w:rPr>
              <w:t>A</w:t>
            </w:r>
            <w:bookmarkEnd w:id="32"/>
          </w:p>
        </w:tc>
      </w:tr>
      <w:tr w:rsidR="00B31120" w:rsidRPr="00B31120" w14:paraId="0684B638" w14:textId="77777777" w:rsidTr="00B31120">
        <w:trPr>
          <w:trHeight w:val="300"/>
        </w:trPr>
        <w:tc>
          <w:tcPr>
            <w:tcW w:w="269" w:type="pct"/>
            <w:tcBorders>
              <w:top w:val="nil"/>
              <w:left w:val="nil"/>
              <w:bottom w:val="nil"/>
              <w:right w:val="nil"/>
            </w:tcBorders>
            <w:shd w:val="clear" w:color="auto" w:fill="auto"/>
            <w:vAlign w:val="bottom"/>
            <w:hideMark/>
          </w:tcPr>
          <w:p w14:paraId="16167B6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778940D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Administration</w:t>
            </w:r>
          </w:p>
        </w:tc>
        <w:tc>
          <w:tcPr>
            <w:tcW w:w="683" w:type="pct"/>
            <w:tcBorders>
              <w:top w:val="nil"/>
              <w:left w:val="nil"/>
              <w:bottom w:val="single" w:sz="4" w:space="0" w:color="auto"/>
              <w:right w:val="single" w:sz="4" w:space="0" w:color="auto"/>
            </w:tcBorders>
            <w:shd w:val="clear" w:color="auto" w:fill="auto"/>
            <w:noWrap/>
            <w:vAlign w:val="bottom"/>
            <w:hideMark/>
          </w:tcPr>
          <w:p w14:paraId="678A305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3B6D02D2"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DHRM</w:t>
            </w:r>
          </w:p>
        </w:tc>
        <w:tc>
          <w:tcPr>
            <w:tcW w:w="801" w:type="pct"/>
            <w:tcBorders>
              <w:top w:val="nil"/>
              <w:left w:val="nil"/>
              <w:bottom w:val="single" w:sz="4" w:space="0" w:color="auto"/>
              <w:right w:val="single" w:sz="4" w:space="0" w:color="auto"/>
            </w:tcBorders>
            <w:shd w:val="clear" w:color="auto" w:fill="auto"/>
            <w:vAlign w:val="center"/>
            <w:hideMark/>
          </w:tcPr>
          <w:p w14:paraId="2AB5D2A7"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C</w:t>
            </w:r>
          </w:p>
        </w:tc>
        <w:tc>
          <w:tcPr>
            <w:tcW w:w="840" w:type="pct"/>
            <w:tcBorders>
              <w:top w:val="nil"/>
              <w:left w:val="nil"/>
              <w:bottom w:val="single" w:sz="4" w:space="0" w:color="auto"/>
              <w:right w:val="single" w:sz="4" w:space="0" w:color="auto"/>
            </w:tcBorders>
            <w:shd w:val="clear" w:color="auto" w:fill="auto"/>
            <w:vAlign w:val="center"/>
            <w:hideMark/>
          </w:tcPr>
          <w:p w14:paraId="1C5F13BB"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458ED8C5" w14:textId="77777777" w:rsidTr="00B31120">
        <w:trPr>
          <w:trHeight w:val="300"/>
        </w:trPr>
        <w:tc>
          <w:tcPr>
            <w:tcW w:w="269" w:type="pct"/>
            <w:tcBorders>
              <w:top w:val="nil"/>
              <w:left w:val="nil"/>
              <w:bottom w:val="nil"/>
              <w:right w:val="nil"/>
            </w:tcBorders>
            <w:shd w:val="clear" w:color="auto" w:fill="auto"/>
            <w:vAlign w:val="center"/>
            <w:hideMark/>
          </w:tcPr>
          <w:p w14:paraId="2C4F282F"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73C5627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Administration</w:t>
            </w:r>
          </w:p>
        </w:tc>
        <w:tc>
          <w:tcPr>
            <w:tcW w:w="683" w:type="pct"/>
            <w:tcBorders>
              <w:top w:val="nil"/>
              <w:left w:val="nil"/>
              <w:bottom w:val="single" w:sz="4" w:space="0" w:color="auto"/>
              <w:right w:val="single" w:sz="4" w:space="0" w:color="auto"/>
            </w:tcBorders>
            <w:shd w:val="clear" w:color="auto" w:fill="auto"/>
            <w:noWrap/>
            <w:vAlign w:val="bottom"/>
            <w:hideMark/>
          </w:tcPr>
          <w:p w14:paraId="766090A7"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ISO</w:t>
            </w:r>
          </w:p>
        </w:tc>
        <w:tc>
          <w:tcPr>
            <w:tcW w:w="643" w:type="pct"/>
            <w:tcBorders>
              <w:top w:val="nil"/>
              <w:left w:val="nil"/>
              <w:bottom w:val="single" w:sz="4" w:space="0" w:color="auto"/>
              <w:right w:val="single" w:sz="4" w:space="0" w:color="auto"/>
            </w:tcBorders>
            <w:shd w:val="clear" w:color="auto" w:fill="auto"/>
            <w:vAlign w:val="bottom"/>
            <w:hideMark/>
          </w:tcPr>
          <w:p w14:paraId="719A53D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ELECT</w:t>
            </w:r>
          </w:p>
        </w:tc>
        <w:tc>
          <w:tcPr>
            <w:tcW w:w="801" w:type="pct"/>
            <w:tcBorders>
              <w:top w:val="nil"/>
              <w:left w:val="nil"/>
              <w:bottom w:val="single" w:sz="4" w:space="0" w:color="auto"/>
              <w:right w:val="single" w:sz="4" w:space="0" w:color="auto"/>
            </w:tcBorders>
            <w:shd w:val="clear" w:color="auto" w:fill="auto"/>
            <w:vAlign w:val="center"/>
            <w:hideMark/>
          </w:tcPr>
          <w:p w14:paraId="1A38E79C"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c>
          <w:tcPr>
            <w:tcW w:w="840" w:type="pct"/>
            <w:tcBorders>
              <w:top w:val="nil"/>
              <w:left w:val="nil"/>
              <w:bottom w:val="single" w:sz="4" w:space="0" w:color="auto"/>
              <w:right w:val="single" w:sz="4" w:space="0" w:color="auto"/>
            </w:tcBorders>
            <w:shd w:val="clear" w:color="auto" w:fill="auto"/>
            <w:vAlign w:val="center"/>
            <w:hideMark/>
          </w:tcPr>
          <w:p w14:paraId="141A0718"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74B720FA" w14:textId="77777777" w:rsidTr="00B31120">
        <w:trPr>
          <w:trHeight w:val="300"/>
        </w:trPr>
        <w:tc>
          <w:tcPr>
            <w:tcW w:w="269" w:type="pct"/>
            <w:tcBorders>
              <w:top w:val="nil"/>
              <w:left w:val="nil"/>
              <w:bottom w:val="nil"/>
              <w:right w:val="nil"/>
            </w:tcBorders>
            <w:shd w:val="clear" w:color="auto" w:fill="auto"/>
            <w:vAlign w:val="bottom"/>
            <w:hideMark/>
          </w:tcPr>
          <w:p w14:paraId="141EC820"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7BF01CD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Administration</w:t>
            </w:r>
          </w:p>
        </w:tc>
        <w:tc>
          <w:tcPr>
            <w:tcW w:w="683" w:type="pct"/>
            <w:tcBorders>
              <w:top w:val="nil"/>
              <w:left w:val="nil"/>
              <w:bottom w:val="single" w:sz="4" w:space="0" w:color="auto"/>
              <w:right w:val="single" w:sz="4" w:space="0" w:color="auto"/>
            </w:tcBorders>
            <w:shd w:val="clear" w:color="auto" w:fill="auto"/>
            <w:noWrap/>
            <w:vAlign w:val="bottom"/>
            <w:hideMark/>
          </w:tcPr>
          <w:p w14:paraId="458F13D6"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ISO</w:t>
            </w:r>
          </w:p>
        </w:tc>
        <w:tc>
          <w:tcPr>
            <w:tcW w:w="643" w:type="pct"/>
            <w:tcBorders>
              <w:top w:val="nil"/>
              <w:left w:val="nil"/>
              <w:bottom w:val="single" w:sz="4" w:space="0" w:color="auto"/>
              <w:right w:val="single" w:sz="4" w:space="0" w:color="auto"/>
            </w:tcBorders>
            <w:shd w:val="clear" w:color="auto" w:fill="auto"/>
            <w:vAlign w:val="bottom"/>
            <w:hideMark/>
          </w:tcPr>
          <w:p w14:paraId="1CF8C758"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VITA</w:t>
            </w:r>
          </w:p>
        </w:tc>
        <w:tc>
          <w:tcPr>
            <w:tcW w:w="801" w:type="pct"/>
            <w:tcBorders>
              <w:top w:val="nil"/>
              <w:left w:val="nil"/>
              <w:bottom w:val="single" w:sz="4" w:space="0" w:color="auto"/>
              <w:right w:val="single" w:sz="4" w:space="0" w:color="auto"/>
            </w:tcBorders>
            <w:shd w:val="clear" w:color="auto" w:fill="auto"/>
            <w:vAlign w:val="center"/>
            <w:hideMark/>
          </w:tcPr>
          <w:p w14:paraId="69A5C218"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1713FBFF"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41A46910" w14:textId="77777777" w:rsidTr="00B31120">
        <w:trPr>
          <w:trHeight w:val="300"/>
        </w:trPr>
        <w:tc>
          <w:tcPr>
            <w:tcW w:w="269" w:type="pct"/>
            <w:tcBorders>
              <w:top w:val="nil"/>
              <w:left w:val="nil"/>
              <w:bottom w:val="nil"/>
              <w:right w:val="nil"/>
            </w:tcBorders>
            <w:shd w:val="clear" w:color="auto" w:fill="auto"/>
            <w:vAlign w:val="bottom"/>
            <w:hideMark/>
          </w:tcPr>
          <w:p w14:paraId="307911A1"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2FA61C3D"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Agriculture &amp; Forestry</w:t>
            </w:r>
          </w:p>
        </w:tc>
        <w:tc>
          <w:tcPr>
            <w:tcW w:w="683" w:type="pct"/>
            <w:tcBorders>
              <w:top w:val="nil"/>
              <w:left w:val="nil"/>
              <w:bottom w:val="single" w:sz="4" w:space="0" w:color="auto"/>
              <w:right w:val="single" w:sz="4" w:space="0" w:color="auto"/>
            </w:tcBorders>
            <w:shd w:val="clear" w:color="auto" w:fill="auto"/>
            <w:noWrap/>
            <w:vAlign w:val="bottom"/>
            <w:hideMark/>
          </w:tcPr>
          <w:p w14:paraId="1296265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25493A03"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DOF</w:t>
            </w:r>
          </w:p>
        </w:tc>
        <w:tc>
          <w:tcPr>
            <w:tcW w:w="801" w:type="pct"/>
            <w:tcBorders>
              <w:top w:val="nil"/>
              <w:left w:val="nil"/>
              <w:bottom w:val="single" w:sz="4" w:space="0" w:color="auto"/>
              <w:right w:val="single" w:sz="4" w:space="0" w:color="auto"/>
            </w:tcBorders>
            <w:shd w:val="clear" w:color="auto" w:fill="auto"/>
            <w:vAlign w:val="center"/>
            <w:hideMark/>
          </w:tcPr>
          <w:p w14:paraId="33095F9E"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c>
          <w:tcPr>
            <w:tcW w:w="840" w:type="pct"/>
            <w:tcBorders>
              <w:top w:val="nil"/>
              <w:left w:val="nil"/>
              <w:bottom w:val="single" w:sz="4" w:space="0" w:color="auto"/>
              <w:right w:val="single" w:sz="4" w:space="0" w:color="auto"/>
            </w:tcBorders>
            <w:shd w:val="clear" w:color="auto" w:fill="auto"/>
            <w:vAlign w:val="center"/>
            <w:hideMark/>
          </w:tcPr>
          <w:p w14:paraId="09A60898"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6B835CE7" w14:textId="77777777" w:rsidTr="00B31120">
        <w:trPr>
          <w:trHeight w:val="300"/>
        </w:trPr>
        <w:tc>
          <w:tcPr>
            <w:tcW w:w="269" w:type="pct"/>
            <w:tcBorders>
              <w:top w:val="nil"/>
              <w:left w:val="nil"/>
              <w:bottom w:val="nil"/>
              <w:right w:val="nil"/>
            </w:tcBorders>
            <w:shd w:val="clear" w:color="auto" w:fill="auto"/>
            <w:vAlign w:val="bottom"/>
            <w:hideMark/>
          </w:tcPr>
          <w:p w14:paraId="5B5F6D58"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76F29D56"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Agriculture &amp; Forestry</w:t>
            </w:r>
          </w:p>
        </w:tc>
        <w:tc>
          <w:tcPr>
            <w:tcW w:w="683" w:type="pct"/>
            <w:tcBorders>
              <w:top w:val="nil"/>
              <w:left w:val="nil"/>
              <w:bottom w:val="single" w:sz="4" w:space="0" w:color="auto"/>
              <w:right w:val="single" w:sz="4" w:space="0" w:color="auto"/>
            </w:tcBorders>
            <w:shd w:val="clear" w:color="auto" w:fill="auto"/>
            <w:noWrap/>
            <w:vAlign w:val="bottom"/>
            <w:hideMark/>
          </w:tcPr>
          <w:p w14:paraId="548ADA50"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6DE6027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VDACS</w:t>
            </w:r>
          </w:p>
        </w:tc>
        <w:tc>
          <w:tcPr>
            <w:tcW w:w="801" w:type="pct"/>
            <w:tcBorders>
              <w:top w:val="nil"/>
              <w:left w:val="nil"/>
              <w:bottom w:val="single" w:sz="4" w:space="0" w:color="auto"/>
              <w:right w:val="single" w:sz="4" w:space="0" w:color="auto"/>
            </w:tcBorders>
            <w:shd w:val="clear" w:color="auto" w:fill="auto"/>
            <w:vAlign w:val="center"/>
            <w:hideMark/>
          </w:tcPr>
          <w:p w14:paraId="4161EEAD"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650E2A8D"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681AC875" w14:textId="77777777" w:rsidTr="00B31120">
        <w:trPr>
          <w:trHeight w:val="300"/>
        </w:trPr>
        <w:tc>
          <w:tcPr>
            <w:tcW w:w="269" w:type="pct"/>
            <w:tcBorders>
              <w:top w:val="nil"/>
              <w:left w:val="nil"/>
              <w:bottom w:val="nil"/>
              <w:right w:val="nil"/>
            </w:tcBorders>
            <w:shd w:val="clear" w:color="auto" w:fill="auto"/>
            <w:vAlign w:val="bottom"/>
            <w:hideMark/>
          </w:tcPr>
          <w:p w14:paraId="29900986"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15CA1A0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Agriculture &amp; Forestry</w:t>
            </w:r>
          </w:p>
        </w:tc>
        <w:tc>
          <w:tcPr>
            <w:tcW w:w="683" w:type="pct"/>
            <w:tcBorders>
              <w:top w:val="nil"/>
              <w:left w:val="nil"/>
              <w:bottom w:val="single" w:sz="4" w:space="0" w:color="auto"/>
              <w:right w:val="single" w:sz="4" w:space="0" w:color="auto"/>
            </w:tcBorders>
            <w:shd w:val="clear" w:color="auto" w:fill="auto"/>
            <w:noWrap/>
            <w:vAlign w:val="bottom"/>
            <w:hideMark/>
          </w:tcPr>
          <w:p w14:paraId="0555F2F7"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4D568E79"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VRC</w:t>
            </w:r>
          </w:p>
        </w:tc>
        <w:tc>
          <w:tcPr>
            <w:tcW w:w="801" w:type="pct"/>
            <w:tcBorders>
              <w:top w:val="nil"/>
              <w:left w:val="nil"/>
              <w:bottom w:val="single" w:sz="4" w:space="0" w:color="auto"/>
              <w:right w:val="single" w:sz="4" w:space="0" w:color="auto"/>
            </w:tcBorders>
            <w:shd w:val="clear" w:color="auto" w:fill="auto"/>
            <w:vAlign w:val="center"/>
            <w:hideMark/>
          </w:tcPr>
          <w:p w14:paraId="28F876F2"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c>
          <w:tcPr>
            <w:tcW w:w="840" w:type="pct"/>
            <w:tcBorders>
              <w:top w:val="nil"/>
              <w:left w:val="nil"/>
              <w:bottom w:val="single" w:sz="4" w:space="0" w:color="auto"/>
              <w:right w:val="single" w:sz="4" w:space="0" w:color="auto"/>
            </w:tcBorders>
            <w:shd w:val="clear" w:color="auto" w:fill="auto"/>
            <w:vAlign w:val="center"/>
            <w:hideMark/>
          </w:tcPr>
          <w:p w14:paraId="5EF7EBB8"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6449A8F5" w14:textId="77777777" w:rsidTr="00B31120">
        <w:trPr>
          <w:trHeight w:val="300"/>
        </w:trPr>
        <w:tc>
          <w:tcPr>
            <w:tcW w:w="269" w:type="pct"/>
            <w:tcBorders>
              <w:top w:val="nil"/>
              <w:left w:val="nil"/>
              <w:bottom w:val="nil"/>
              <w:right w:val="nil"/>
            </w:tcBorders>
            <w:shd w:val="clear" w:color="auto" w:fill="auto"/>
            <w:vAlign w:val="bottom"/>
            <w:hideMark/>
          </w:tcPr>
          <w:p w14:paraId="66892FC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37FBE2F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Commerce and Trade</w:t>
            </w:r>
          </w:p>
        </w:tc>
        <w:tc>
          <w:tcPr>
            <w:tcW w:w="683" w:type="pct"/>
            <w:tcBorders>
              <w:top w:val="nil"/>
              <w:left w:val="nil"/>
              <w:bottom w:val="single" w:sz="4" w:space="0" w:color="auto"/>
              <w:right w:val="single" w:sz="4" w:space="0" w:color="auto"/>
            </w:tcBorders>
            <w:shd w:val="clear" w:color="auto" w:fill="auto"/>
            <w:noWrap/>
            <w:vAlign w:val="bottom"/>
            <w:hideMark/>
          </w:tcPr>
          <w:p w14:paraId="553F754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7E83D4B3"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BOA</w:t>
            </w:r>
          </w:p>
        </w:tc>
        <w:tc>
          <w:tcPr>
            <w:tcW w:w="801" w:type="pct"/>
            <w:tcBorders>
              <w:top w:val="nil"/>
              <w:left w:val="nil"/>
              <w:bottom w:val="single" w:sz="4" w:space="0" w:color="auto"/>
              <w:right w:val="single" w:sz="4" w:space="0" w:color="auto"/>
            </w:tcBorders>
            <w:shd w:val="clear" w:color="auto" w:fill="auto"/>
            <w:vAlign w:val="center"/>
            <w:hideMark/>
          </w:tcPr>
          <w:p w14:paraId="6BDEB7F0"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c>
          <w:tcPr>
            <w:tcW w:w="840" w:type="pct"/>
            <w:tcBorders>
              <w:top w:val="nil"/>
              <w:left w:val="nil"/>
              <w:bottom w:val="single" w:sz="4" w:space="0" w:color="auto"/>
              <w:right w:val="single" w:sz="4" w:space="0" w:color="auto"/>
            </w:tcBorders>
            <w:shd w:val="clear" w:color="auto" w:fill="auto"/>
            <w:vAlign w:val="center"/>
            <w:hideMark/>
          </w:tcPr>
          <w:p w14:paraId="5A435611"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0C642209" w14:textId="77777777" w:rsidTr="00B31120">
        <w:trPr>
          <w:trHeight w:val="300"/>
        </w:trPr>
        <w:tc>
          <w:tcPr>
            <w:tcW w:w="269" w:type="pct"/>
            <w:tcBorders>
              <w:top w:val="nil"/>
              <w:left w:val="nil"/>
              <w:bottom w:val="nil"/>
              <w:right w:val="nil"/>
            </w:tcBorders>
            <w:shd w:val="clear" w:color="auto" w:fill="auto"/>
            <w:vAlign w:val="center"/>
            <w:hideMark/>
          </w:tcPr>
          <w:p w14:paraId="78E3B696"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52E094C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Commerce and Trade</w:t>
            </w:r>
          </w:p>
        </w:tc>
        <w:tc>
          <w:tcPr>
            <w:tcW w:w="683" w:type="pct"/>
            <w:tcBorders>
              <w:top w:val="nil"/>
              <w:left w:val="nil"/>
              <w:bottom w:val="single" w:sz="4" w:space="0" w:color="auto"/>
              <w:right w:val="single" w:sz="4" w:space="0" w:color="auto"/>
            </w:tcBorders>
            <w:shd w:val="clear" w:color="auto" w:fill="auto"/>
            <w:noWrap/>
            <w:vAlign w:val="bottom"/>
            <w:hideMark/>
          </w:tcPr>
          <w:p w14:paraId="0CB93D2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w:t>
            </w:r>
          </w:p>
        </w:tc>
        <w:tc>
          <w:tcPr>
            <w:tcW w:w="643" w:type="pct"/>
            <w:tcBorders>
              <w:top w:val="nil"/>
              <w:left w:val="nil"/>
              <w:bottom w:val="single" w:sz="4" w:space="0" w:color="auto"/>
              <w:right w:val="single" w:sz="4" w:space="0" w:color="auto"/>
            </w:tcBorders>
            <w:shd w:val="clear" w:color="auto" w:fill="auto"/>
            <w:vAlign w:val="bottom"/>
            <w:hideMark/>
          </w:tcPr>
          <w:p w14:paraId="396B3830"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DHCD</w:t>
            </w:r>
          </w:p>
        </w:tc>
        <w:tc>
          <w:tcPr>
            <w:tcW w:w="801" w:type="pct"/>
            <w:tcBorders>
              <w:top w:val="nil"/>
              <w:left w:val="nil"/>
              <w:bottom w:val="single" w:sz="4" w:space="0" w:color="auto"/>
              <w:right w:val="single" w:sz="4" w:space="0" w:color="auto"/>
            </w:tcBorders>
            <w:shd w:val="clear" w:color="auto" w:fill="auto"/>
            <w:vAlign w:val="center"/>
            <w:hideMark/>
          </w:tcPr>
          <w:p w14:paraId="54434A07"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c>
          <w:tcPr>
            <w:tcW w:w="840" w:type="pct"/>
            <w:tcBorders>
              <w:top w:val="nil"/>
              <w:left w:val="nil"/>
              <w:bottom w:val="single" w:sz="4" w:space="0" w:color="auto"/>
              <w:right w:val="single" w:sz="4" w:space="0" w:color="auto"/>
            </w:tcBorders>
            <w:shd w:val="clear" w:color="auto" w:fill="auto"/>
            <w:vAlign w:val="center"/>
            <w:hideMark/>
          </w:tcPr>
          <w:p w14:paraId="347BCC94"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r>
      <w:tr w:rsidR="00B31120" w:rsidRPr="00B31120" w14:paraId="7E08F95F" w14:textId="77777777" w:rsidTr="00B31120">
        <w:trPr>
          <w:trHeight w:val="300"/>
        </w:trPr>
        <w:tc>
          <w:tcPr>
            <w:tcW w:w="269" w:type="pct"/>
            <w:tcBorders>
              <w:top w:val="nil"/>
              <w:left w:val="nil"/>
              <w:bottom w:val="nil"/>
              <w:right w:val="nil"/>
            </w:tcBorders>
            <w:shd w:val="clear" w:color="auto" w:fill="auto"/>
            <w:vAlign w:val="bottom"/>
            <w:hideMark/>
          </w:tcPr>
          <w:p w14:paraId="787A65B1"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0A9C40D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Commerce and Trade</w:t>
            </w:r>
          </w:p>
        </w:tc>
        <w:tc>
          <w:tcPr>
            <w:tcW w:w="683" w:type="pct"/>
            <w:tcBorders>
              <w:top w:val="nil"/>
              <w:left w:val="nil"/>
              <w:bottom w:val="single" w:sz="4" w:space="0" w:color="auto"/>
              <w:right w:val="single" w:sz="4" w:space="0" w:color="auto"/>
            </w:tcBorders>
            <w:shd w:val="clear" w:color="auto" w:fill="auto"/>
            <w:noWrap/>
            <w:vAlign w:val="bottom"/>
            <w:hideMark/>
          </w:tcPr>
          <w:p w14:paraId="2771715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4617127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DMME</w:t>
            </w:r>
          </w:p>
        </w:tc>
        <w:tc>
          <w:tcPr>
            <w:tcW w:w="801" w:type="pct"/>
            <w:tcBorders>
              <w:top w:val="nil"/>
              <w:left w:val="nil"/>
              <w:bottom w:val="single" w:sz="4" w:space="0" w:color="auto"/>
              <w:right w:val="single" w:sz="4" w:space="0" w:color="auto"/>
            </w:tcBorders>
            <w:shd w:val="clear" w:color="auto" w:fill="auto"/>
            <w:vAlign w:val="center"/>
            <w:hideMark/>
          </w:tcPr>
          <w:p w14:paraId="3D5ABEBC"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5D541726"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162C03FD" w14:textId="77777777" w:rsidTr="00B31120">
        <w:trPr>
          <w:trHeight w:val="300"/>
        </w:trPr>
        <w:tc>
          <w:tcPr>
            <w:tcW w:w="269" w:type="pct"/>
            <w:tcBorders>
              <w:top w:val="nil"/>
              <w:left w:val="nil"/>
              <w:bottom w:val="nil"/>
              <w:right w:val="nil"/>
            </w:tcBorders>
            <w:shd w:val="clear" w:color="auto" w:fill="auto"/>
            <w:vAlign w:val="bottom"/>
            <w:hideMark/>
          </w:tcPr>
          <w:p w14:paraId="3953B948"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5BF7DE17"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Commerce and Trade</w:t>
            </w:r>
          </w:p>
        </w:tc>
        <w:tc>
          <w:tcPr>
            <w:tcW w:w="683" w:type="pct"/>
            <w:tcBorders>
              <w:top w:val="nil"/>
              <w:left w:val="nil"/>
              <w:bottom w:val="single" w:sz="4" w:space="0" w:color="auto"/>
              <w:right w:val="single" w:sz="4" w:space="0" w:color="auto"/>
            </w:tcBorders>
            <w:shd w:val="clear" w:color="auto" w:fill="auto"/>
            <w:noWrap/>
            <w:vAlign w:val="bottom"/>
            <w:hideMark/>
          </w:tcPr>
          <w:p w14:paraId="4F0FF78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329750A8"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DOLI</w:t>
            </w:r>
          </w:p>
        </w:tc>
        <w:tc>
          <w:tcPr>
            <w:tcW w:w="801" w:type="pct"/>
            <w:tcBorders>
              <w:top w:val="nil"/>
              <w:left w:val="nil"/>
              <w:bottom w:val="single" w:sz="4" w:space="0" w:color="auto"/>
              <w:right w:val="single" w:sz="4" w:space="0" w:color="auto"/>
            </w:tcBorders>
            <w:shd w:val="clear" w:color="auto" w:fill="auto"/>
            <w:vAlign w:val="center"/>
            <w:hideMark/>
          </w:tcPr>
          <w:p w14:paraId="7CA6E2CA"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c>
          <w:tcPr>
            <w:tcW w:w="840" w:type="pct"/>
            <w:tcBorders>
              <w:top w:val="nil"/>
              <w:left w:val="nil"/>
              <w:bottom w:val="single" w:sz="4" w:space="0" w:color="auto"/>
              <w:right w:val="single" w:sz="4" w:space="0" w:color="auto"/>
            </w:tcBorders>
            <w:shd w:val="clear" w:color="auto" w:fill="auto"/>
            <w:vAlign w:val="center"/>
            <w:hideMark/>
          </w:tcPr>
          <w:p w14:paraId="29575386"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03405144" w14:textId="77777777" w:rsidTr="00B31120">
        <w:trPr>
          <w:trHeight w:val="300"/>
        </w:trPr>
        <w:tc>
          <w:tcPr>
            <w:tcW w:w="269" w:type="pct"/>
            <w:tcBorders>
              <w:top w:val="nil"/>
              <w:left w:val="nil"/>
              <w:bottom w:val="nil"/>
              <w:right w:val="nil"/>
            </w:tcBorders>
            <w:shd w:val="clear" w:color="auto" w:fill="auto"/>
            <w:vAlign w:val="bottom"/>
            <w:hideMark/>
          </w:tcPr>
          <w:p w14:paraId="31A1BF40"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2532D8E3"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Commerce and Trade</w:t>
            </w:r>
          </w:p>
        </w:tc>
        <w:tc>
          <w:tcPr>
            <w:tcW w:w="683" w:type="pct"/>
            <w:tcBorders>
              <w:top w:val="nil"/>
              <w:left w:val="nil"/>
              <w:bottom w:val="single" w:sz="4" w:space="0" w:color="auto"/>
              <w:right w:val="single" w:sz="4" w:space="0" w:color="auto"/>
            </w:tcBorders>
            <w:shd w:val="clear" w:color="auto" w:fill="auto"/>
            <w:noWrap/>
            <w:vAlign w:val="bottom"/>
            <w:hideMark/>
          </w:tcPr>
          <w:p w14:paraId="2AB73FC1"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531586E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DPOR</w:t>
            </w:r>
          </w:p>
        </w:tc>
        <w:tc>
          <w:tcPr>
            <w:tcW w:w="801" w:type="pct"/>
            <w:tcBorders>
              <w:top w:val="nil"/>
              <w:left w:val="nil"/>
              <w:bottom w:val="single" w:sz="4" w:space="0" w:color="auto"/>
              <w:right w:val="single" w:sz="4" w:space="0" w:color="auto"/>
            </w:tcBorders>
            <w:shd w:val="clear" w:color="auto" w:fill="auto"/>
            <w:vAlign w:val="center"/>
            <w:hideMark/>
          </w:tcPr>
          <w:p w14:paraId="395DEC63"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6342583F"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060EBD26" w14:textId="77777777" w:rsidTr="00B31120">
        <w:trPr>
          <w:trHeight w:val="300"/>
        </w:trPr>
        <w:tc>
          <w:tcPr>
            <w:tcW w:w="269" w:type="pct"/>
            <w:tcBorders>
              <w:top w:val="nil"/>
              <w:left w:val="nil"/>
              <w:bottom w:val="nil"/>
              <w:right w:val="nil"/>
            </w:tcBorders>
            <w:shd w:val="clear" w:color="auto" w:fill="auto"/>
            <w:vAlign w:val="bottom"/>
            <w:hideMark/>
          </w:tcPr>
          <w:p w14:paraId="557A5227"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50AE81B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Commerce and Trade</w:t>
            </w:r>
          </w:p>
        </w:tc>
        <w:tc>
          <w:tcPr>
            <w:tcW w:w="683" w:type="pct"/>
            <w:tcBorders>
              <w:top w:val="nil"/>
              <w:left w:val="nil"/>
              <w:bottom w:val="single" w:sz="4" w:space="0" w:color="auto"/>
              <w:right w:val="single" w:sz="4" w:space="0" w:color="auto"/>
            </w:tcBorders>
            <w:shd w:val="clear" w:color="auto" w:fill="auto"/>
            <w:noWrap/>
            <w:vAlign w:val="bottom"/>
            <w:hideMark/>
          </w:tcPr>
          <w:p w14:paraId="51B2B792"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50394C6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IEIA</w:t>
            </w:r>
          </w:p>
        </w:tc>
        <w:tc>
          <w:tcPr>
            <w:tcW w:w="801" w:type="pct"/>
            <w:tcBorders>
              <w:top w:val="nil"/>
              <w:left w:val="nil"/>
              <w:bottom w:val="single" w:sz="4" w:space="0" w:color="auto"/>
              <w:right w:val="single" w:sz="4" w:space="0" w:color="auto"/>
            </w:tcBorders>
            <w:shd w:val="clear" w:color="auto" w:fill="auto"/>
            <w:vAlign w:val="center"/>
            <w:hideMark/>
          </w:tcPr>
          <w:p w14:paraId="6E905E06"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33740C75"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r>
      <w:tr w:rsidR="00B31120" w:rsidRPr="00B31120" w14:paraId="29757E32" w14:textId="77777777" w:rsidTr="00B31120">
        <w:trPr>
          <w:trHeight w:val="300"/>
        </w:trPr>
        <w:tc>
          <w:tcPr>
            <w:tcW w:w="269" w:type="pct"/>
            <w:tcBorders>
              <w:top w:val="nil"/>
              <w:left w:val="nil"/>
              <w:bottom w:val="nil"/>
              <w:right w:val="nil"/>
            </w:tcBorders>
            <w:shd w:val="clear" w:color="auto" w:fill="auto"/>
            <w:vAlign w:val="bottom"/>
            <w:hideMark/>
          </w:tcPr>
          <w:p w14:paraId="7E7B09B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513059B7"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Commerce and Trade</w:t>
            </w:r>
          </w:p>
        </w:tc>
        <w:tc>
          <w:tcPr>
            <w:tcW w:w="683" w:type="pct"/>
            <w:tcBorders>
              <w:top w:val="nil"/>
              <w:left w:val="nil"/>
              <w:bottom w:val="single" w:sz="4" w:space="0" w:color="auto"/>
              <w:right w:val="single" w:sz="4" w:space="0" w:color="auto"/>
            </w:tcBorders>
            <w:shd w:val="clear" w:color="auto" w:fill="auto"/>
            <w:noWrap/>
            <w:vAlign w:val="bottom"/>
            <w:hideMark/>
          </w:tcPr>
          <w:p w14:paraId="46EEB026"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4DE88682"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SBSD</w:t>
            </w:r>
          </w:p>
        </w:tc>
        <w:tc>
          <w:tcPr>
            <w:tcW w:w="801" w:type="pct"/>
            <w:tcBorders>
              <w:top w:val="nil"/>
              <w:left w:val="nil"/>
              <w:bottom w:val="single" w:sz="4" w:space="0" w:color="auto"/>
              <w:right w:val="single" w:sz="4" w:space="0" w:color="auto"/>
            </w:tcBorders>
            <w:shd w:val="clear" w:color="auto" w:fill="auto"/>
            <w:vAlign w:val="center"/>
            <w:hideMark/>
          </w:tcPr>
          <w:p w14:paraId="7F88FB38"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451A9FE9"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61D01145" w14:textId="77777777" w:rsidTr="00B31120">
        <w:trPr>
          <w:trHeight w:val="300"/>
        </w:trPr>
        <w:tc>
          <w:tcPr>
            <w:tcW w:w="269" w:type="pct"/>
            <w:tcBorders>
              <w:top w:val="nil"/>
              <w:left w:val="nil"/>
              <w:bottom w:val="nil"/>
              <w:right w:val="nil"/>
            </w:tcBorders>
            <w:shd w:val="clear" w:color="auto" w:fill="auto"/>
            <w:vAlign w:val="bottom"/>
            <w:hideMark/>
          </w:tcPr>
          <w:p w14:paraId="1B7701C2"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3F8B2ECB"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Commerce and Trade</w:t>
            </w:r>
          </w:p>
        </w:tc>
        <w:tc>
          <w:tcPr>
            <w:tcW w:w="683" w:type="pct"/>
            <w:tcBorders>
              <w:top w:val="nil"/>
              <w:left w:val="nil"/>
              <w:bottom w:val="single" w:sz="4" w:space="0" w:color="auto"/>
              <w:right w:val="single" w:sz="4" w:space="0" w:color="auto"/>
            </w:tcBorders>
            <w:shd w:val="clear" w:color="auto" w:fill="auto"/>
            <w:noWrap/>
            <w:vAlign w:val="bottom"/>
            <w:hideMark/>
          </w:tcPr>
          <w:p w14:paraId="598EE7E1"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5A627D2D"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TIC</w:t>
            </w:r>
          </w:p>
        </w:tc>
        <w:tc>
          <w:tcPr>
            <w:tcW w:w="801" w:type="pct"/>
            <w:tcBorders>
              <w:top w:val="nil"/>
              <w:left w:val="nil"/>
              <w:bottom w:val="single" w:sz="4" w:space="0" w:color="auto"/>
              <w:right w:val="single" w:sz="4" w:space="0" w:color="auto"/>
            </w:tcBorders>
            <w:shd w:val="clear" w:color="auto" w:fill="auto"/>
            <w:vAlign w:val="center"/>
            <w:hideMark/>
          </w:tcPr>
          <w:p w14:paraId="43CBCC1D"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c>
          <w:tcPr>
            <w:tcW w:w="840" w:type="pct"/>
            <w:tcBorders>
              <w:top w:val="nil"/>
              <w:left w:val="nil"/>
              <w:bottom w:val="single" w:sz="4" w:space="0" w:color="auto"/>
              <w:right w:val="single" w:sz="4" w:space="0" w:color="auto"/>
            </w:tcBorders>
            <w:shd w:val="clear" w:color="auto" w:fill="auto"/>
            <w:vAlign w:val="center"/>
            <w:hideMark/>
          </w:tcPr>
          <w:p w14:paraId="7C624A79"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r>
      <w:tr w:rsidR="00B31120" w:rsidRPr="00B31120" w14:paraId="2C52BECD" w14:textId="77777777" w:rsidTr="00B31120">
        <w:trPr>
          <w:trHeight w:val="300"/>
        </w:trPr>
        <w:tc>
          <w:tcPr>
            <w:tcW w:w="269" w:type="pct"/>
            <w:tcBorders>
              <w:top w:val="nil"/>
              <w:left w:val="nil"/>
              <w:bottom w:val="nil"/>
              <w:right w:val="nil"/>
            </w:tcBorders>
            <w:shd w:val="clear" w:color="auto" w:fill="auto"/>
            <w:vAlign w:val="bottom"/>
            <w:hideMark/>
          </w:tcPr>
          <w:p w14:paraId="063373F0"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7EF378E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Commerce and Trade</w:t>
            </w:r>
          </w:p>
        </w:tc>
        <w:tc>
          <w:tcPr>
            <w:tcW w:w="683" w:type="pct"/>
            <w:tcBorders>
              <w:top w:val="nil"/>
              <w:left w:val="nil"/>
              <w:bottom w:val="single" w:sz="4" w:space="0" w:color="auto"/>
              <w:right w:val="single" w:sz="4" w:space="0" w:color="auto"/>
            </w:tcBorders>
            <w:shd w:val="clear" w:color="auto" w:fill="auto"/>
            <w:noWrap/>
            <w:vAlign w:val="bottom"/>
            <w:hideMark/>
          </w:tcPr>
          <w:p w14:paraId="5D732BE2"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26676CD2"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VEC</w:t>
            </w:r>
          </w:p>
        </w:tc>
        <w:tc>
          <w:tcPr>
            <w:tcW w:w="801" w:type="pct"/>
            <w:tcBorders>
              <w:top w:val="nil"/>
              <w:left w:val="nil"/>
              <w:bottom w:val="single" w:sz="4" w:space="0" w:color="auto"/>
              <w:right w:val="single" w:sz="4" w:space="0" w:color="auto"/>
            </w:tcBorders>
            <w:shd w:val="clear" w:color="auto" w:fill="auto"/>
            <w:vAlign w:val="center"/>
            <w:hideMark/>
          </w:tcPr>
          <w:p w14:paraId="09CCB185"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0CC2E834"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0D235490" w14:textId="77777777" w:rsidTr="00B31120">
        <w:trPr>
          <w:trHeight w:val="300"/>
        </w:trPr>
        <w:tc>
          <w:tcPr>
            <w:tcW w:w="269" w:type="pct"/>
            <w:tcBorders>
              <w:top w:val="nil"/>
              <w:left w:val="nil"/>
              <w:bottom w:val="nil"/>
              <w:right w:val="nil"/>
            </w:tcBorders>
            <w:shd w:val="clear" w:color="auto" w:fill="auto"/>
            <w:vAlign w:val="bottom"/>
            <w:hideMark/>
          </w:tcPr>
          <w:p w14:paraId="7D6E82E1"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139FEBB9"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Commerce and Trade</w:t>
            </w:r>
          </w:p>
        </w:tc>
        <w:tc>
          <w:tcPr>
            <w:tcW w:w="683" w:type="pct"/>
            <w:tcBorders>
              <w:top w:val="nil"/>
              <w:left w:val="nil"/>
              <w:bottom w:val="single" w:sz="4" w:space="0" w:color="auto"/>
              <w:right w:val="single" w:sz="4" w:space="0" w:color="auto"/>
            </w:tcBorders>
            <w:shd w:val="clear" w:color="auto" w:fill="auto"/>
            <w:noWrap/>
            <w:vAlign w:val="bottom"/>
            <w:hideMark/>
          </w:tcPr>
          <w:p w14:paraId="7922E6F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4B031B2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VEDP</w:t>
            </w:r>
          </w:p>
        </w:tc>
        <w:tc>
          <w:tcPr>
            <w:tcW w:w="801" w:type="pct"/>
            <w:tcBorders>
              <w:top w:val="nil"/>
              <w:left w:val="nil"/>
              <w:bottom w:val="single" w:sz="4" w:space="0" w:color="auto"/>
              <w:right w:val="single" w:sz="4" w:space="0" w:color="auto"/>
            </w:tcBorders>
            <w:shd w:val="clear" w:color="auto" w:fill="auto"/>
            <w:vAlign w:val="center"/>
            <w:hideMark/>
          </w:tcPr>
          <w:p w14:paraId="27C23BE3"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c>
          <w:tcPr>
            <w:tcW w:w="840" w:type="pct"/>
            <w:tcBorders>
              <w:top w:val="nil"/>
              <w:left w:val="nil"/>
              <w:bottom w:val="single" w:sz="4" w:space="0" w:color="auto"/>
              <w:right w:val="single" w:sz="4" w:space="0" w:color="auto"/>
            </w:tcBorders>
            <w:shd w:val="clear" w:color="auto" w:fill="auto"/>
            <w:vAlign w:val="center"/>
            <w:hideMark/>
          </w:tcPr>
          <w:p w14:paraId="61802BF6"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r>
      <w:tr w:rsidR="00B31120" w:rsidRPr="00B31120" w14:paraId="2E532977" w14:textId="77777777" w:rsidTr="00B31120">
        <w:trPr>
          <w:trHeight w:val="300"/>
        </w:trPr>
        <w:tc>
          <w:tcPr>
            <w:tcW w:w="269" w:type="pct"/>
            <w:tcBorders>
              <w:top w:val="nil"/>
              <w:left w:val="nil"/>
              <w:bottom w:val="nil"/>
              <w:right w:val="nil"/>
            </w:tcBorders>
            <w:shd w:val="clear" w:color="auto" w:fill="auto"/>
            <w:vAlign w:val="center"/>
            <w:hideMark/>
          </w:tcPr>
          <w:p w14:paraId="1F6FC3C6"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1DB643E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Education</w:t>
            </w:r>
          </w:p>
        </w:tc>
        <w:tc>
          <w:tcPr>
            <w:tcW w:w="683" w:type="pct"/>
            <w:tcBorders>
              <w:top w:val="nil"/>
              <w:left w:val="nil"/>
              <w:bottom w:val="single" w:sz="4" w:space="0" w:color="auto"/>
              <w:right w:val="single" w:sz="4" w:space="0" w:color="auto"/>
            </w:tcBorders>
            <w:shd w:val="clear" w:color="auto" w:fill="auto"/>
            <w:noWrap/>
            <w:vAlign w:val="bottom"/>
            <w:hideMark/>
          </w:tcPr>
          <w:p w14:paraId="74576E2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w:t>
            </w:r>
          </w:p>
        </w:tc>
        <w:tc>
          <w:tcPr>
            <w:tcW w:w="643" w:type="pct"/>
            <w:tcBorders>
              <w:top w:val="nil"/>
              <w:left w:val="nil"/>
              <w:bottom w:val="single" w:sz="4" w:space="0" w:color="auto"/>
              <w:right w:val="single" w:sz="4" w:space="0" w:color="auto"/>
            </w:tcBorders>
            <w:shd w:val="clear" w:color="auto" w:fill="auto"/>
            <w:vAlign w:val="bottom"/>
            <w:hideMark/>
          </w:tcPr>
          <w:p w14:paraId="592A80D9"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DOE</w:t>
            </w:r>
          </w:p>
        </w:tc>
        <w:tc>
          <w:tcPr>
            <w:tcW w:w="801" w:type="pct"/>
            <w:tcBorders>
              <w:top w:val="nil"/>
              <w:left w:val="nil"/>
              <w:bottom w:val="single" w:sz="4" w:space="0" w:color="auto"/>
              <w:right w:val="single" w:sz="4" w:space="0" w:color="auto"/>
            </w:tcBorders>
            <w:shd w:val="clear" w:color="auto" w:fill="auto"/>
            <w:vAlign w:val="center"/>
            <w:hideMark/>
          </w:tcPr>
          <w:p w14:paraId="67DE2855"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c>
          <w:tcPr>
            <w:tcW w:w="840" w:type="pct"/>
            <w:tcBorders>
              <w:top w:val="nil"/>
              <w:left w:val="nil"/>
              <w:bottom w:val="single" w:sz="4" w:space="0" w:color="auto"/>
              <w:right w:val="single" w:sz="4" w:space="0" w:color="auto"/>
            </w:tcBorders>
            <w:shd w:val="clear" w:color="auto" w:fill="auto"/>
            <w:vAlign w:val="center"/>
            <w:hideMark/>
          </w:tcPr>
          <w:p w14:paraId="50BE4468"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31717C97" w14:textId="77777777" w:rsidTr="00B31120">
        <w:trPr>
          <w:trHeight w:val="300"/>
        </w:trPr>
        <w:tc>
          <w:tcPr>
            <w:tcW w:w="269" w:type="pct"/>
            <w:tcBorders>
              <w:top w:val="nil"/>
              <w:left w:val="nil"/>
              <w:bottom w:val="nil"/>
              <w:right w:val="nil"/>
            </w:tcBorders>
            <w:shd w:val="clear" w:color="auto" w:fill="auto"/>
            <w:vAlign w:val="center"/>
            <w:hideMark/>
          </w:tcPr>
          <w:p w14:paraId="476A9259"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5E7D2B2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Education</w:t>
            </w:r>
          </w:p>
        </w:tc>
        <w:tc>
          <w:tcPr>
            <w:tcW w:w="683" w:type="pct"/>
            <w:tcBorders>
              <w:top w:val="nil"/>
              <w:left w:val="nil"/>
              <w:bottom w:val="single" w:sz="4" w:space="0" w:color="auto"/>
              <w:right w:val="single" w:sz="4" w:space="0" w:color="auto"/>
            </w:tcBorders>
            <w:shd w:val="clear" w:color="auto" w:fill="auto"/>
            <w:noWrap/>
            <w:vAlign w:val="bottom"/>
            <w:hideMark/>
          </w:tcPr>
          <w:p w14:paraId="02EE9587"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ISO</w:t>
            </w:r>
          </w:p>
        </w:tc>
        <w:tc>
          <w:tcPr>
            <w:tcW w:w="643" w:type="pct"/>
            <w:tcBorders>
              <w:top w:val="nil"/>
              <w:left w:val="nil"/>
              <w:bottom w:val="single" w:sz="4" w:space="0" w:color="auto"/>
              <w:right w:val="single" w:sz="4" w:space="0" w:color="auto"/>
            </w:tcBorders>
            <w:shd w:val="clear" w:color="auto" w:fill="auto"/>
            <w:vAlign w:val="bottom"/>
            <w:hideMark/>
          </w:tcPr>
          <w:p w14:paraId="15EAFB4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FCMV</w:t>
            </w:r>
          </w:p>
        </w:tc>
        <w:tc>
          <w:tcPr>
            <w:tcW w:w="801" w:type="pct"/>
            <w:tcBorders>
              <w:top w:val="nil"/>
              <w:left w:val="nil"/>
              <w:bottom w:val="single" w:sz="4" w:space="0" w:color="auto"/>
              <w:right w:val="single" w:sz="4" w:space="0" w:color="auto"/>
            </w:tcBorders>
            <w:shd w:val="clear" w:color="auto" w:fill="auto"/>
            <w:vAlign w:val="center"/>
            <w:hideMark/>
          </w:tcPr>
          <w:p w14:paraId="777952BF"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c>
          <w:tcPr>
            <w:tcW w:w="840" w:type="pct"/>
            <w:tcBorders>
              <w:top w:val="nil"/>
              <w:left w:val="nil"/>
              <w:bottom w:val="single" w:sz="4" w:space="0" w:color="auto"/>
              <w:right w:val="single" w:sz="4" w:space="0" w:color="auto"/>
            </w:tcBorders>
            <w:shd w:val="clear" w:color="auto" w:fill="auto"/>
            <w:vAlign w:val="center"/>
            <w:hideMark/>
          </w:tcPr>
          <w:p w14:paraId="0468542A"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497822DC" w14:textId="77777777" w:rsidTr="00B31120">
        <w:trPr>
          <w:trHeight w:val="300"/>
        </w:trPr>
        <w:tc>
          <w:tcPr>
            <w:tcW w:w="269" w:type="pct"/>
            <w:tcBorders>
              <w:top w:val="nil"/>
              <w:left w:val="nil"/>
              <w:bottom w:val="nil"/>
              <w:right w:val="nil"/>
            </w:tcBorders>
            <w:shd w:val="clear" w:color="auto" w:fill="auto"/>
            <w:vAlign w:val="center"/>
            <w:hideMark/>
          </w:tcPr>
          <w:p w14:paraId="69C58292"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592F1373"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Education</w:t>
            </w:r>
          </w:p>
        </w:tc>
        <w:tc>
          <w:tcPr>
            <w:tcW w:w="683" w:type="pct"/>
            <w:tcBorders>
              <w:top w:val="nil"/>
              <w:left w:val="nil"/>
              <w:bottom w:val="single" w:sz="4" w:space="0" w:color="auto"/>
              <w:right w:val="single" w:sz="4" w:space="0" w:color="auto"/>
            </w:tcBorders>
            <w:shd w:val="clear" w:color="auto" w:fill="auto"/>
            <w:noWrap/>
            <w:vAlign w:val="bottom"/>
            <w:hideMark/>
          </w:tcPr>
          <w:p w14:paraId="7E09F8A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ISO</w:t>
            </w:r>
          </w:p>
        </w:tc>
        <w:tc>
          <w:tcPr>
            <w:tcW w:w="643" w:type="pct"/>
            <w:tcBorders>
              <w:top w:val="nil"/>
              <w:left w:val="nil"/>
              <w:bottom w:val="single" w:sz="4" w:space="0" w:color="auto"/>
              <w:right w:val="single" w:sz="4" w:space="0" w:color="auto"/>
            </w:tcBorders>
            <w:shd w:val="clear" w:color="auto" w:fill="auto"/>
            <w:vAlign w:val="bottom"/>
            <w:hideMark/>
          </w:tcPr>
          <w:p w14:paraId="5F94B1E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GH</w:t>
            </w:r>
          </w:p>
        </w:tc>
        <w:tc>
          <w:tcPr>
            <w:tcW w:w="801" w:type="pct"/>
            <w:tcBorders>
              <w:top w:val="nil"/>
              <w:left w:val="nil"/>
              <w:bottom w:val="single" w:sz="4" w:space="0" w:color="auto"/>
              <w:right w:val="single" w:sz="4" w:space="0" w:color="auto"/>
            </w:tcBorders>
            <w:shd w:val="clear" w:color="auto" w:fill="auto"/>
            <w:vAlign w:val="center"/>
            <w:hideMark/>
          </w:tcPr>
          <w:p w14:paraId="4CD8F106"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39A35171"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59872453" w14:textId="77777777" w:rsidTr="00B31120">
        <w:trPr>
          <w:trHeight w:val="300"/>
        </w:trPr>
        <w:tc>
          <w:tcPr>
            <w:tcW w:w="269" w:type="pct"/>
            <w:tcBorders>
              <w:top w:val="nil"/>
              <w:left w:val="nil"/>
              <w:bottom w:val="nil"/>
              <w:right w:val="nil"/>
            </w:tcBorders>
            <w:shd w:val="clear" w:color="auto" w:fill="auto"/>
            <w:vAlign w:val="bottom"/>
            <w:hideMark/>
          </w:tcPr>
          <w:p w14:paraId="20DE1E5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043F20A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Education</w:t>
            </w:r>
          </w:p>
        </w:tc>
        <w:tc>
          <w:tcPr>
            <w:tcW w:w="683" w:type="pct"/>
            <w:tcBorders>
              <w:top w:val="nil"/>
              <w:left w:val="nil"/>
              <w:bottom w:val="single" w:sz="4" w:space="0" w:color="auto"/>
              <w:right w:val="single" w:sz="4" w:space="0" w:color="auto"/>
            </w:tcBorders>
            <w:shd w:val="clear" w:color="auto" w:fill="auto"/>
            <w:noWrap/>
            <w:vAlign w:val="bottom"/>
            <w:hideMark/>
          </w:tcPr>
          <w:p w14:paraId="04D4D58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74115A1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JYF</w:t>
            </w:r>
          </w:p>
        </w:tc>
        <w:tc>
          <w:tcPr>
            <w:tcW w:w="801" w:type="pct"/>
            <w:tcBorders>
              <w:top w:val="nil"/>
              <w:left w:val="nil"/>
              <w:bottom w:val="single" w:sz="4" w:space="0" w:color="auto"/>
              <w:right w:val="single" w:sz="4" w:space="0" w:color="auto"/>
            </w:tcBorders>
            <w:shd w:val="clear" w:color="auto" w:fill="auto"/>
            <w:vAlign w:val="center"/>
            <w:hideMark/>
          </w:tcPr>
          <w:p w14:paraId="75E062A3"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c>
          <w:tcPr>
            <w:tcW w:w="840" w:type="pct"/>
            <w:tcBorders>
              <w:top w:val="nil"/>
              <w:left w:val="nil"/>
              <w:bottom w:val="single" w:sz="4" w:space="0" w:color="auto"/>
              <w:right w:val="single" w:sz="4" w:space="0" w:color="auto"/>
            </w:tcBorders>
            <w:shd w:val="clear" w:color="auto" w:fill="auto"/>
            <w:vAlign w:val="center"/>
            <w:hideMark/>
          </w:tcPr>
          <w:p w14:paraId="3C35082B"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r>
      <w:tr w:rsidR="00B31120" w:rsidRPr="00B31120" w14:paraId="74D32D42" w14:textId="77777777" w:rsidTr="00B31120">
        <w:trPr>
          <w:trHeight w:val="300"/>
        </w:trPr>
        <w:tc>
          <w:tcPr>
            <w:tcW w:w="269" w:type="pct"/>
            <w:tcBorders>
              <w:top w:val="nil"/>
              <w:left w:val="nil"/>
              <w:bottom w:val="nil"/>
              <w:right w:val="nil"/>
            </w:tcBorders>
            <w:shd w:val="clear" w:color="auto" w:fill="auto"/>
            <w:vAlign w:val="bottom"/>
            <w:hideMark/>
          </w:tcPr>
          <w:p w14:paraId="308961AA"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2174849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Education</w:t>
            </w:r>
          </w:p>
        </w:tc>
        <w:tc>
          <w:tcPr>
            <w:tcW w:w="683" w:type="pct"/>
            <w:tcBorders>
              <w:top w:val="nil"/>
              <w:left w:val="nil"/>
              <w:bottom w:val="single" w:sz="4" w:space="0" w:color="auto"/>
              <w:right w:val="single" w:sz="4" w:space="0" w:color="auto"/>
            </w:tcBorders>
            <w:shd w:val="clear" w:color="auto" w:fill="auto"/>
            <w:noWrap/>
            <w:vAlign w:val="bottom"/>
            <w:hideMark/>
          </w:tcPr>
          <w:p w14:paraId="0E1023F3"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1C3FDB80"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LVA</w:t>
            </w:r>
          </w:p>
        </w:tc>
        <w:tc>
          <w:tcPr>
            <w:tcW w:w="801" w:type="pct"/>
            <w:tcBorders>
              <w:top w:val="nil"/>
              <w:left w:val="nil"/>
              <w:bottom w:val="single" w:sz="4" w:space="0" w:color="auto"/>
              <w:right w:val="single" w:sz="4" w:space="0" w:color="auto"/>
            </w:tcBorders>
            <w:shd w:val="clear" w:color="auto" w:fill="auto"/>
            <w:vAlign w:val="center"/>
            <w:hideMark/>
          </w:tcPr>
          <w:p w14:paraId="518A5D9E"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c>
          <w:tcPr>
            <w:tcW w:w="840" w:type="pct"/>
            <w:tcBorders>
              <w:top w:val="nil"/>
              <w:left w:val="nil"/>
              <w:bottom w:val="single" w:sz="4" w:space="0" w:color="auto"/>
              <w:right w:val="single" w:sz="4" w:space="0" w:color="auto"/>
            </w:tcBorders>
            <w:shd w:val="clear" w:color="auto" w:fill="auto"/>
            <w:vAlign w:val="center"/>
            <w:hideMark/>
          </w:tcPr>
          <w:p w14:paraId="44365E79"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0E18AE52" w14:textId="77777777" w:rsidTr="00B31120">
        <w:trPr>
          <w:trHeight w:val="300"/>
        </w:trPr>
        <w:tc>
          <w:tcPr>
            <w:tcW w:w="269" w:type="pct"/>
            <w:tcBorders>
              <w:top w:val="nil"/>
              <w:left w:val="nil"/>
              <w:bottom w:val="nil"/>
              <w:right w:val="nil"/>
            </w:tcBorders>
            <w:shd w:val="clear" w:color="auto" w:fill="auto"/>
            <w:vAlign w:val="bottom"/>
            <w:hideMark/>
          </w:tcPr>
          <w:p w14:paraId="647C2CF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0AD6FB6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Education</w:t>
            </w:r>
          </w:p>
        </w:tc>
        <w:tc>
          <w:tcPr>
            <w:tcW w:w="683" w:type="pct"/>
            <w:tcBorders>
              <w:top w:val="nil"/>
              <w:left w:val="nil"/>
              <w:bottom w:val="single" w:sz="4" w:space="0" w:color="auto"/>
              <w:right w:val="single" w:sz="4" w:space="0" w:color="auto"/>
            </w:tcBorders>
            <w:shd w:val="clear" w:color="auto" w:fill="auto"/>
            <w:noWrap/>
            <w:vAlign w:val="bottom"/>
            <w:hideMark/>
          </w:tcPr>
          <w:p w14:paraId="7477137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17331B98"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NSU</w:t>
            </w:r>
          </w:p>
        </w:tc>
        <w:tc>
          <w:tcPr>
            <w:tcW w:w="801" w:type="pct"/>
            <w:tcBorders>
              <w:top w:val="nil"/>
              <w:left w:val="nil"/>
              <w:bottom w:val="single" w:sz="4" w:space="0" w:color="auto"/>
              <w:right w:val="single" w:sz="4" w:space="0" w:color="auto"/>
            </w:tcBorders>
            <w:shd w:val="clear" w:color="auto" w:fill="auto"/>
            <w:vAlign w:val="center"/>
            <w:hideMark/>
          </w:tcPr>
          <w:p w14:paraId="3BBAED2C"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c>
          <w:tcPr>
            <w:tcW w:w="840" w:type="pct"/>
            <w:tcBorders>
              <w:top w:val="nil"/>
              <w:left w:val="nil"/>
              <w:bottom w:val="single" w:sz="4" w:space="0" w:color="auto"/>
              <w:right w:val="single" w:sz="4" w:space="0" w:color="auto"/>
            </w:tcBorders>
            <w:shd w:val="clear" w:color="auto" w:fill="auto"/>
            <w:vAlign w:val="center"/>
            <w:hideMark/>
          </w:tcPr>
          <w:p w14:paraId="0D298D26"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r>
      <w:tr w:rsidR="00B31120" w:rsidRPr="00B31120" w14:paraId="399422F1" w14:textId="77777777" w:rsidTr="00B31120">
        <w:trPr>
          <w:trHeight w:val="300"/>
        </w:trPr>
        <w:tc>
          <w:tcPr>
            <w:tcW w:w="269" w:type="pct"/>
            <w:tcBorders>
              <w:top w:val="nil"/>
              <w:left w:val="nil"/>
              <w:bottom w:val="nil"/>
              <w:right w:val="nil"/>
            </w:tcBorders>
            <w:shd w:val="clear" w:color="auto" w:fill="auto"/>
            <w:vAlign w:val="bottom"/>
            <w:hideMark/>
          </w:tcPr>
          <w:p w14:paraId="63E42627"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42988002"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Education</w:t>
            </w:r>
          </w:p>
        </w:tc>
        <w:tc>
          <w:tcPr>
            <w:tcW w:w="683" w:type="pct"/>
            <w:tcBorders>
              <w:top w:val="nil"/>
              <w:left w:val="nil"/>
              <w:bottom w:val="single" w:sz="4" w:space="0" w:color="auto"/>
              <w:right w:val="single" w:sz="4" w:space="0" w:color="auto"/>
            </w:tcBorders>
            <w:shd w:val="clear" w:color="auto" w:fill="auto"/>
            <w:noWrap/>
            <w:vAlign w:val="bottom"/>
            <w:hideMark/>
          </w:tcPr>
          <w:p w14:paraId="6F739E6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41908872"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RBC</w:t>
            </w:r>
          </w:p>
        </w:tc>
        <w:tc>
          <w:tcPr>
            <w:tcW w:w="801" w:type="pct"/>
            <w:tcBorders>
              <w:top w:val="nil"/>
              <w:left w:val="nil"/>
              <w:bottom w:val="single" w:sz="4" w:space="0" w:color="auto"/>
              <w:right w:val="single" w:sz="4" w:space="0" w:color="auto"/>
            </w:tcBorders>
            <w:shd w:val="clear" w:color="auto" w:fill="auto"/>
            <w:vAlign w:val="center"/>
            <w:hideMark/>
          </w:tcPr>
          <w:p w14:paraId="742E58BE"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c>
          <w:tcPr>
            <w:tcW w:w="840" w:type="pct"/>
            <w:tcBorders>
              <w:top w:val="nil"/>
              <w:left w:val="nil"/>
              <w:bottom w:val="single" w:sz="4" w:space="0" w:color="auto"/>
              <w:right w:val="single" w:sz="4" w:space="0" w:color="auto"/>
            </w:tcBorders>
            <w:shd w:val="clear" w:color="auto" w:fill="auto"/>
            <w:vAlign w:val="center"/>
            <w:hideMark/>
          </w:tcPr>
          <w:p w14:paraId="310F78A5"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r>
      <w:tr w:rsidR="00B31120" w:rsidRPr="00B31120" w14:paraId="50607183" w14:textId="77777777" w:rsidTr="00B31120">
        <w:trPr>
          <w:trHeight w:val="300"/>
        </w:trPr>
        <w:tc>
          <w:tcPr>
            <w:tcW w:w="269" w:type="pct"/>
            <w:tcBorders>
              <w:top w:val="nil"/>
              <w:left w:val="nil"/>
              <w:bottom w:val="nil"/>
              <w:right w:val="nil"/>
            </w:tcBorders>
            <w:shd w:val="clear" w:color="auto" w:fill="auto"/>
            <w:vAlign w:val="bottom"/>
            <w:hideMark/>
          </w:tcPr>
          <w:p w14:paraId="030D3898"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2D40C5C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Education</w:t>
            </w:r>
          </w:p>
        </w:tc>
        <w:tc>
          <w:tcPr>
            <w:tcW w:w="683" w:type="pct"/>
            <w:tcBorders>
              <w:top w:val="nil"/>
              <w:left w:val="nil"/>
              <w:bottom w:val="single" w:sz="4" w:space="0" w:color="auto"/>
              <w:right w:val="single" w:sz="4" w:space="0" w:color="auto"/>
            </w:tcBorders>
            <w:shd w:val="clear" w:color="auto" w:fill="auto"/>
            <w:noWrap/>
            <w:vAlign w:val="bottom"/>
            <w:hideMark/>
          </w:tcPr>
          <w:p w14:paraId="28F15E96"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4EC65671"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SCHEV</w:t>
            </w:r>
          </w:p>
        </w:tc>
        <w:tc>
          <w:tcPr>
            <w:tcW w:w="801" w:type="pct"/>
            <w:tcBorders>
              <w:top w:val="nil"/>
              <w:left w:val="nil"/>
              <w:bottom w:val="single" w:sz="4" w:space="0" w:color="auto"/>
              <w:right w:val="single" w:sz="4" w:space="0" w:color="auto"/>
            </w:tcBorders>
            <w:shd w:val="clear" w:color="auto" w:fill="auto"/>
            <w:vAlign w:val="center"/>
            <w:hideMark/>
          </w:tcPr>
          <w:p w14:paraId="13E4F623"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C</w:t>
            </w:r>
          </w:p>
        </w:tc>
        <w:tc>
          <w:tcPr>
            <w:tcW w:w="840" w:type="pct"/>
            <w:tcBorders>
              <w:top w:val="nil"/>
              <w:left w:val="nil"/>
              <w:bottom w:val="single" w:sz="4" w:space="0" w:color="auto"/>
              <w:right w:val="single" w:sz="4" w:space="0" w:color="auto"/>
            </w:tcBorders>
            <w:shd w:val="clear" w:color="auto" w:fill="auto"/>
            <w:vAlign w:val="center"/>
            <w:hideMark/>
          </w:tcPr>
          <w:p w14:paraId="51C36758"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C</w:t>
            </w:r>
          </w:p>
        </w:tc>
      </w:tr>
      <w:tr w:rsidR="00B31120" w:rsidRPr="00B31120" w14:paraId="3FF020D5" w14:textId="77777777" w:rsidTr="00B31120">
        <w:trPr>
          <w:trHeight w:val="300"/>
        </w:trPr>
        <w:tc>
          <w:tcPr>
            <w:tcW w:w="269" w:type="pct"/>
            <w:tcBorders>
              <w:top w:val="nil"/>
              <w:left w:val="nil"/>
              <w:bottom w:val="nil"/>
              <w:right w:val="nil"/>
            </w:tcBorders>
            <w:shd w:val="clear" w:color="auto" w:fill="auto"/>
            <w:vAlign w:val="center"/>
            <w:hideMark/>
          </w:tcPr>
          <w:p w14:paraId="1EEF8090"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6523E336"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Education</w:t>
            </w:r>
          </w:p>
        </w:tc>
        <w:tc>
          <w:tcPr>
            <w:tcW w:w="683" w:type="pct"/>
            <w:tcBorders>
              <w:top w:val="nil"/>
              <w:left w:val="nil"/>
              <w:bottom w:val="single" w:sz="4" w:space="0" w:color="auto"/>
              <w:right w:val="single" w:sz="4" w:space="0" w:color="auto"/>
            </w:tcBorders>
            <w:shd w:val="clear" w:color="auto" w:fill="auto"/>
            <w:noWrap/>
            <w:vAlign w:val="bottom"/>
            <w:hideMark/>
          </w:tcPr>
          <w:p w14:paraId="2CD072B9"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ISO</w:t>
            </w:r>
          </w:p>
        </w:tc>
        <w:tc>
          <w:tcPr>
            <w:tcW w:w="643" w:type="pct"/>
            <w:tcBorders>
              <w:top w:val="nil"/>
              <w:left w:val="nil"/>
              <w:bottom w:val="single" w:sz="4" w:space="0" w:color="auto"/>
              <w:right w:val="single" w:sz="4" w:space="0" w:color="auto"/>
            </w:tcBorders>
            <w:shd w:val="clear" w:color="auto" w:fill="auto"/>
            <w:vAlign w:val="bottom"/>
            <w:hideMark/>
          </w:tcPr>
          <w:p w14:paraId="53CDF07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SMV</w:t>
            </w:r>
          </w:p>
        </w:tc>
        <w:tc>
          <w:tcPr>
            <w:tcW w:w="801" w:type="pct"/>
            <w:tcBorders>
              <w:top w:val="nil"/>
              <w:left w:val="nil"/>
              <w:bottom w:val="single" w:sz="4" w:space="0" w:color="auto"/>
              <w:right w:val="single" w:sz="4" w:space="0" w:color="auto"/>
            </w:tcBorders>
            <w:shd w:val="clear" w:color="auto" w:fill="auto"/>
            <w:vAlign w:val="center"/>
            <w:hideMark/>
          </w:tcPr>
          <w:p w14:paraId="5DB3EAC5"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C</w:t>
            </w:r>
          </w:p>
        </w:tc>
        <w:tc>
          <w:tcPr>
            <w:tcW w:w="840" w:type="pct"/>
            <w:tcBorders>
              <w:top w:val="nil"/>
              <w:left w:val="nil"/>
              <w:bottom w:val="single" w:sz="4" w:space="0" w:color="auto"/>
              <w:right w:val="single" w:sz="4" w:space="0" w:color="auto"/>
            </w:tcBorders>
            <w:shd w:val="clear" w:color="auto" w:fill="auto"/>
            <w:vAlign w:val="center"/>
            <w:hideMark/>
          </w:tcPr>
          <w:p w14:paraId="5A426381"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r>
      <w:tr w:rsidR="00B31120" w:rsidRPr="00B31120" w14:paraId="2416F593" w14:textId="77777777" w:rsidTr="00B31120">
        <w:trPr>
          <w:trHeight w:val="300"/>
        </w:trPr>
        <w:tc>
          <w:tcPr>
            <w:tcW w:w="269" w:type="pct"/>
            <w:tcBorders>
              <w:top w:val="nil"/>
              <w:left w:val="nil"/>
              <w:bottom w:val="nil"/>
              <w:right w:val="nil"/>
            </w:tcBorders>
            <w:shd w:val="clear" w:color="auto" w:fill="auto"/>
            <w:vAlign w:val="center"/>
            <w:hideMark/>
          </w:tcPr>
          <w:p w14:paraId="7A286477"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7AA3284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Education</w:t>
            </w:r>
          </w:p>
        </w:tc>
        <w:tc>
          <w:tcPr>
            <w:tcW w:w="683" w:type="pct"/>
            <w:tcBorders>
              <w:top w:val="nil"/>
              <w:left w:val="nil"/>
              <w:bottom w:val="single" w:sz="4" w:space="0" w:color="auto"/>
              <w:right w:val="single" w:sz="4" w:space="0" w:color="auto"/>
            </w:tcBorders>
            <w:shd w:val="clear" w:color="auto" w:fill="auto"/>
            <w:noWrap/>
            <w:vAlign w:val="bottom"/>
            <w:hideMark/>
          </w:tcPr>
          <w:p w14:paraId="604E3AE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ISO</w:t>
            </w:r>
          </w:p>
        </w:tc>
        <w:tc>
          <w:tcPr>
            <w:tcW w:w="643" w:type="pct"/>
            <w:tcBorders>
              <w:top w:val="nil"/>
              <w:left w:val="nil"/>
              <w:bottom w:val="single" w:sz="4" w:space="0" w:color="auto"/>
              <w:right w:val="single" w:sz="4" w:space="0" w:color="auto"/>
            </w:tcBorders>
            <w:shd w:val="clear" w:color="auto" w:fill="auto"/>
            <w:vAlign w:val="bottom"/>
            <w:hideMark/>
          </w:tcPr>
          <w:p w14:paraId="3437D3B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SVHEC</w:t>
            </w:r>
          </w:p>
        </w:tc>
        <w:tc>
          <w:tcPr>
            <w:tcW w:w="801" w:type="pct"/>
            <w:tcBorders>
              <w:top w:val="nil"/>
              <w:left w:val="nil"/>
              <w:bottom w:val="single" w:sz="4" w:space="0" w:color="auto"/>
              <w:right w:val="single" w:sz="4" w:space="0" w:color="auto"/>
            </w:tcBorders>
            <w:shd w:val="clear" w:color="auto" w:fill="auto"/>
            <w:vAlign w:val="center"/>
            <w:hideMark/>
          </w:tcPr>
          <w:p w14:paraId="5697395F"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0280D924"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r>
      <w:tr w:rsidR="00B31120" w:rsidRPr="00B31120" w14:paraId="68A17945" w14:textId="77777777" w:rsidTr="00B31120">
        <w:trPr>
          <w:trHeight w:val="300"/>
        </w:trPr>
        <w:tc>
          <w:tcPr>
            <w:tcW w:w="269" w:type="pct"/>
            <w:tcBorders>
              <w:top w:val="nil"/>
              <w:left w:val="nil"/>
              <w:bottom w:val="nil"/>
              <w:right w:val="nil"/>
            </w:tcBorders>
            <w:shd w:val="clear" w:color="auto" w:fill="auto"/>
            <w:vAlign w:val="bottom"/>
            <w:hideMark/>
          </w:tcPr>
          <w:p w14:paraId="1FD7C46D"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339740A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Education</w:t>
            </w:r>
          </w:p>
        </w:tc>
        <w:tc>
          <w:tcPr>
            <w:tcW w:w="683" w:type="pct"/>
            <w:tcBorders>
              <w:top w:val="nil"/>
              <w:left w:val="nil"/>
              <w:bottom w:val="single" w:sz="4" w:space="0" w:color="auto"/>
              <w:right w:val="single" w:sz="4" w:space="0" w:color="auto"/>
            </w:tcBorders>
            <w:shd w:val="clear" w:color="auto" w:fill="auto"/>
            <w:noWrap/>
            <w:vAlign w:val="bottom"/>
            <w:hideMark/>
          </w:tcPr>
          <w:p w14:paraId="4C98CD5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1D0B628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SWVHEC</w:t>
            </w:r>
          </w:p>
        </w:tc>
        <w:tc>
          <w:tcPr>
            <w:tcW w:w="801" w:type="pct"/>
            <w:tcBorders>
              <w:top w:val="nil"/>
              <w:left w:val="nil"/>
              <w:bottom w:val="single" w:sz="4" w:space="0" w:color="auto"/>
              <w:right w:val="single" w:sz="4" w:space="0" w:color="auto"/>
            </w:tcBorders>
            <w:shd w:val="clear" w:color="auto" w:fill="auto"/>
            <w:vAlign w:val="center"/>
            <w:hideMark/>
          </w:tcPr>
          <w:p w14:paraId="1A4FFF1B"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c>
          <w:tcPr>
            <w:tcW w:w="840" w:type="pct"/>
            <w:tcBorders>
              <w:top w:val="nil"/>
              <w:left w:val="nil"/>
              <w:bottom w:val="single" w:sz="4" w:space="0" w:color="auto"/>
              <w:right w:val="single" w:sz="4" w:space="0" w:color="auto"/>
            </w:tcBorders>
            <w:shd w:val="clear" w:color="auto" w:fill="auto"/>
            <w:vAlign w:val="center"/>
            <w:hideMark/>
          </w:tcPr>
          <w:p w14:paraId="09FA7685"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r>
      <w:tr w:rsidR="00B31120" w:rsidRPr="00B31120" w14:paraId="0223A550" w14:textId="77777777" w:rsidTr="00B31120">
        <w:trPr>
          <w:trHeight w:val="300"/>
        </w:trPr>
        <w:tc>
          <w:tcPr>
            <w:tcW w:w="269" w:type="pct"/>
            <w:tcBorders>
              <w:top w:val="nil"/>
              <w:left w:val="nil"/>
              <w:bottom w:val="nil"/>
              <w:right w:val="nil"/>
            </w:tcBorders>
            <w:shd w:val="clear" w:color="auto" w:fill="auto"/>
            <w:vAlign w:val="bottom"/>
            <w:hideMark/>
          </w:tcPr>
          <w:p w14:paraId="15B64BAC"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0D81C5C7"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Education</w:t>
            </w:r>
          </w:p>
        </w:tc>
        <w:tc>
          <w:tcPr>
            <w:tcW w:w="683" w:type="pct"/>
            <w:tcBorders>
              <w:top w:val="nil"/>
              <w:left w:val="nil"/>
              <w:bottom w:val="single" w:sz="4" w:space="0" w:color="auto"/>
              <w:right w:val="single" w:sz="4" w:space="0" w:color="auto"/>
            </w:tcBorders>
            <w:shd w:val="clear" w:color="auto" w:fill="auto"/>
            <w:noWrap/>
            <w:vAlign w:val="bottom"/>
            <w:hideMark/>
          </w:tcPr>
          <w:p w14:paraId="468D10ED"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2CCF1F5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VCA</w:t>
            </w:r>
          </w:p>
        </w:tc>
        <w:tc>
          <w:tcPr>
            <w:tcW w:w="801" w:type="pct"/>
            <w:tcBorders>
              <w:top w:val="nil"/>
              <w:left w:val="nil"/>
              <w:bottom w:val="single" w:sz="4" w:space="0" w:color="auto"/>
              <w:right w:val="single" w:sz="4" w:space="0" w:color="auto"/>
            </w:tcBorders>
            <w:shd w:val="clear" w:color="auto" w:fill="auto"/>
            <w:vAlign w:val="center"/>
            <w:hideMark/>
          </w:tcPr>
          <w:p w14:paraId="2BCB89C0"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c>
          <w:tcPr>
            <w:tcW w:w="840" w:type="pct"/>
            <w:tcBorders>
              <w:top w:val="nil"/>
              <w:left w:val="nil"/>
              <w:bottom w:val="single" w:sz="4" w:space="0" w:color="auto"/>
              <w:right w:val="single" w:sz="4" w:space="0" w:color="auto"/>
            </w:tcBorders>
            <w:shd w:val="clear" w:color="auto" w:fill="auto"/>
            <w:vAlign w:val="center"/>
            <w:hideMark/>
          </w:tcPr>
          <w:p w14:paraId="3A7052C2"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r>
      <w:tr w:rsidR="00B31120" w:rsidRPr="00B31120" w14:paraId="60F2B95F" w14:textId="77777777" w:rsidTr="00B31120">
        <w:trPr>
          <w:trHeight w:val="300"/>
        </w:trPr>
        <w:tc>
          <w:tcPr>
            <w:tcW w:w="269" w:type="pct"/>
            <w:tcBorders>
              <w:top w:val="nil"/>
              <w:left w:val="nil"/>
              <w:bottom w:val="nil"/>
              <w:right w:val="nil"/>
            </w:tcBorders>
            <w:shd w:val="clear" w:color="auto" w:fill="auto"/>
            <w:vAlign w:val="center"/>
            <w:hideMark/>
          </w:tcPr>
          <w:p w14:paraId="2C899075"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34779A4B"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Education</w:t>
            </w:r>
          </w:p>
        </w:tc>
        <w:tc>
          <w:tcPr>
            <w:tcW w:w="683" w:type="pct"/>
            <w:tcBorders>
              <w:top w:val="nil"/>
              <w:left w:val="nil"/>
              <w:bottom w:val="single" w:sz="4" w:space="0" w:color="auto"/>
              <w:right w:val="single" w:sz="4" w:space="0" w:color="auto"/>
            </w:tcBorders>
            <w:shd w:val="clear" w:color="auto" w:fill="auto"/>
            <w:noWrap/>
            <w:vAlign w:val="bottom"/>
            <w:hideMark/>
          </w:tcPr>
          <w:p w14:paraId="6B670C28"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w:t>
            </w:r>
          </w:p>
        </w:tc>
        <w:tc>
          <w:tcPr>
            <w:tcW w:w="643" w:type="pct"/>
            <w:tcBorders>
              <w:top w:val="nil"/>
              <w:left w:val="nil"/>
              <w:bottom w:val="single" w:sz="4" w:space="0" w:color="auto"/>
              <w:right w:val="single" w:sz="4" w:space="0" w:color="auto"/>
            </w:tcBorders>
            <w:shd w:val="clear" w:color="auto" w:fill="auto"/>
            <w:vAlign w:val="bottom"/>
            <w:hideMark/>
          </w:tcPr>
          <w:p w14:paraId="6B4A3D5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VMFA</w:t>
            </w:r>
          </w:p>
        </w:tc>
        <w:tc>
          <w:tcPr>
            <w:tcW w:w="801" w:type="pct"/>
            <w:tcBorders>
              <w:top w:val="nil"/>
              <w:left w:val="nil"/>
              <w:bottom w:val="single" w:sz="4" w:space="0" w:color="auto"/>
              <w:right w:val="single" w:sz="4" w:space="0" w:color="auto"/>
            </w:tcBorders>
            <w:shd w:val="clear" w:color="auto" w:fill="auto"/>
            <w:vAlign w:val="center"/>
            <w:hideMark/>
          </w:tcPr>
          <w:p w14:paraId="7FE65B8C"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c>
          <w:tcPr>
            <w:tcW w:w="840" w:type="pct"/>
            <w:tcBorders>
              <w:top w:val="nil"/>
              <w:left w:val="nil"/>
              <w:bottom w:val="single" w:sz="4" w:space="0" w:color="auto"/>
              <w:right w:val="single" w:sz="4" w:space="0" w:color="auto"/>
            </w:tcBorders>
            <w:shd w:val="clear" w:color="auto" w:fill="auto"/>
            <w:vAlign w:val="center"/>
            <w:hideMark/>
          </w:tcPr>
          <w:p w14:paraId="4352F7A1"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r>
      <w:tr w:rsidR="00B31120" w:rsidRPr="00B31120" w14:paraId="34E7979B" w14:textId="77777777" w:rsidTr="00B31120">
        <w:trPr>
          <w:trHeight w:val="300"/>
        </w:trPr>
        <w:tc>
          <w:tcPr>
            <w:tcW w:w="269" w:type="pct"/>
            <w:tcBorders>
              <w:top w:val="nil"/>
              <w:left w:val="nil"/>
              <w:bottom w:val="nil"/>
              <w:right w:val="nil"/>
            </w:tcBorders>
            <w:shd w:val="clear" w:color="auto" w:fill="auto"/>
            <w:vAlign w:val="bottom"/>
            <w:hideMark/>
          </w:tcPr>
          <w:p w14:paraId="5ABE6234"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54CA45E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Education</w:t>
            </w:r>
          </w:p>
        </w:tc>
        <w:tc>
          <w:tcPr>
            <w:tcW w:w="683" w:type="pct"/>
            <w:tcBorders>
              <w:top w:val="nil"/>
              <w:left w:val="nil"/>
              <w:bottom w:val="single" w:sz="4" w:space="0" w:color="auto"/>
              <w:right w:val="single" w:sz="4" w:space="0" w:color="auto"/>
            </w:tcBorders>
            <w:shd w:val="clear" w:color="auto" w:fill="auto"/>
            <w:noWrap/>
            <w:vAlign w:val="bottom"/>
            <w:hideMark/>
          </w:tcPr>
          <w:p w14:paraId="6EE95130"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07DC923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VSDB</w:t>
            </w:r>
          </w:p>
        </w:tc>
        <w:tc>
          <w:tcPr>
            <w:tcW w:w="801" w:type="pct"/>
            <w:tcBorders>
              <w:top w:val="nil"/>
              <w:left w:val="nil"/>
              <w:bottom w:val="single" w:sz="4" w:space="0" w:color="auto"/>
              <w:right w:val="single" w:sz="4" w:space="0" w:color="auto"/>
            </w:tcBorders>
            <w:shd w:val="clear" w:color="auto" w:fill="auto"/>
            <w:vAlign w:val="center"/>
            <w:hideMark/>
          </w:tcPr>
          <w:p w14:paraId="1562DD0A"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c>
          <w:tcPr>
            <w:tcW w:w="840" w:type="pct"/>
            <w:tcBorders>
              <w:top w:val="nil"/>
              <w:left w:val="nil"/>
              <w:bottom w:val="single" w:sz="4" w:space="0" w:color="auto"/>
              <w:right w:val="single" w:sz="4" w:space="0" w:color="auto"/>
            </w:tcBorders>
            <w:shd w:val="clear" w:color="auto" w:fill="auto"/>
            <w:vAlign w:val="center"/>
            <w:hideMark/>
          </w:tcPr>
          <w:p w14:paraId="0CC6779E"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r>
      <w:tr w:rsidR="00B31120" w:rsidRPr="00B31120" w14:paraId="4ED82CDC" w14:textId="77777777" w:rsidTr="00B31120">
        <w:trPr>
          <w:trHeight w:val="300"/>
        </w:trPr>
        <w:tc>
          <w:tcPr>
            <w:tcW w:w="269" w:type="pct"/>
            <w:tcBorders>
              <w:top w:val="nil"/>
              <w:left w:val="nil"/>
              <w:bottom w:val="nil"/>
              <w:right w:val="nil"/>
            </w:tcBorders>
            <w:shd w:val="clear" w:color="auto" w:fill="auto"/>
            <w:vAlign w:val="bottom"/>
            <w:hideMark/>
          </w:tcPr>
          <w:p w14:paraId="33AFD96B"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7C34BBF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Education</w:t>
            </w:r>
          </w:p>
        </w:tc>
        <w:tc>
          <w:tcPr>
            <w:tcW w:w="683" w:type="pct"/>
            <w:tcBorders>
              <w:top w:val="nil"/>
              <w:left w:val="nil"/>
              <w:bottom w:val="single" w:sz="4" w:space="0" w:color="auto"/>
              <w:right w:val="single" w:sz="4" w:space="0" w:color="auto"/>
            </w:tcBorders>
            <w:shd w:val="clear" w:color="auto" w:fill="auto"/>
            <w:noWrap/>
            <w:vAlign w:val="bottom"/>
            <w:hideMark/>
          </w:tcPr>
          <w:p w14:paraId="0E1C6B6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7351BC9D"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VSU</w:t>
            </w:r>
          </w:p>
        </w:tc>
        <w:tc>
          <w:tcPr>
            <w:tcW w:w="801" w:type="pct"/>
            <w:tcBorders>
              <w:top w:val="nil"/>
              <w:left w:val="nil"/>
              <w:bottom w:val="single" w:sz="4" w:space="0" w:color="auto"/>
              <w:right w:val="single" w:sz="4" w:space="0" w:color="auto"/>
            </w:tcBorders>
            <w:shd w:val="clear" w:color="auto" w:fill="auto"/>
            <w:vAlign w:val="center"/>
            <w:hideMark/>
          </w:tcPr>
          <w:p w14:paraId="46D8E65E"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0A0A7932"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4CE9DE36" w14:textId="77777777" w:rsidTr="00B31120">
        <w:trPr>
          <w:trHeight w:val="300"/>
        </w:trPr>
        <w:tc>
          <w:tcPr>
            <w:tcW w:w="269" w:type="pct"/>
            <w:tcBorders>
              <w:top w:val="nil"/>
              <w:left w:val="nil"/>
              <w:bottom w:val="nil"/>
              <w:right w:val="nil"/>
            </w:tcBorders>
            <w:shd w:val="clear" w:color="auto" w:fill="auto"/>
            <w:vAlign w:val="center"/>
            <w:hideMark/>
          </w:tcPr>
          <w:p w14:paraId="563DC884"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1B424C91"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Executive</w:t>
            </w:r>
          </w:p>
        </w:tc>
        <w:tc>
          <w:tcPr>
            <w:tcW w:w="683" w:type="pct"/>
            <w:tcBorders>
              <w:top w:val="nil"/>
              <w:left w:val="nil"/>
              <w:bottom w:val="single" w:sz="4" w:space="0" w:color="auto"/>
              <w:right w:val="single" w:sz="4" w:space="0" w:color="auto"/>
            </w:tcBorders>
            <w:shd w:val="clear" w:color="auto" w:fill="auto"/>
            <w:noWrap/>
            <w:vAlign w:val="bottom"/>
            <w:hideMark/>
          </w:tcPr>
          <w:p w14:paraId="59801DA2"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ISO</w:t>
            </w:r>
          </w:p>
        </w:tc>
        <w:tc>
          <w:tcPr>
            <w:tcW w:w="643" w:type="pct"/>
            <w:tcBorders>
              <w:top w:val="nil"/>
              <w:left w:val="nil"/>
              <w:bottom w:val="single" w:sz="4" w:space="0" w:color="auto"/>
              <w:right w:val="single" w:sz="4" w:space="0" w:color="auto"/>
            </w:tcBorders>
            <w:shd w:val="clear" w:color="auto" w:fill="auto"/>
            <w:vAlign w:val="bottom"/>
            <w:hideMark/>
          </w:tcPr>
          <w:p w14:paraId="22FDAA38"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GOV</w:t>
            </w:r>
          </w:p>
        </w:tc>
        <w:tc>
          <w:tcPr>
            <w:tcW w:w="801" w:type="pct"/>
            <w:tcBorders>
              <w:top w:val="nil"/>
              <w:left w:val="nil"/>
              <w:bottom w:val="single" w:sz="4" w:space="0" w:color="auto"/>
              <w:right w:val="single" w:sz="4" w:space="0" w:color="auto"/>
            </w:tcBorders>
            <w:shd w:val="clear" w:color="auto" w:fill="auto"/>
            <w:vAlign w:val="center"/>
            <w:hideMark/>
          </w:tcPr>
          <w:p w14:paraId="71AD0579"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c>
          <w:tcPr>
            <w:tcW w:w="840" w:type="pct"/>
            <w:tcBorders>
              <w:top w:val="nil"/>
              <w:left w:val="nil"/>
              <w:bottom w:val="single" w:sz="4" w:space="0" w:color="auto"/>
              <w:right w:val="single" w:sz="4" w:space="0" w:color="auto"/>
            </w:tcBorders>
            <w:shd w:val="clear" w:color="auto" w:fill="auto"/>
            <w:vAlign w:val="center"/>
            <w:hideMark/>
          </w:tcPr>
          <w:p w14:paraId="15B7F2CA"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4C3D349F" w14:textId="77777777" w:rsidTr="00B31120">
        <w:trPr>
          <w:trHeight w:val="300"/>
        </w:trPr>
        <w:tc>
          <w:tcPr>
            <w:tcW w:w="269" w:type="pct"/>
            <w:tcBorders>
              <w:top w:val="nil"/>
              <w:left w:val="nil"/>
              <w:bottom w:val="nil"/>
              <w:right w:val="nil"/>
            </w:tcBorders>
            <w:shd w:val="clear" w:color="auto" w:fill="auto"/>
            <w:vAlign w:val="bottom"/>
            <w:hideMark/>
          </w:tcPr>
          <w:p w14:paraId="42FEAB9D"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3F0A7263"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Executive</w:t>
            </w:r>
          </w:p>
        </w:tc>
        <w:tc>
          <w:tcPr>
            <w:tcW w:w="683" w:type="pct"/>
            <w:tcBorders>
              <w:top w:val="nil"/>
              <w:left w:val="nil"/>
              <w:bottom w:val="single" w:sz="4" w:space="0" w:color="auto"/>
              <w:right w:val="single" w:sz="4" w:space="0" w:color="auto"/>
            </w:tcBorders>
            <w:shd w:val="clear" w:color="auto" w:fill="auto"/>
            <w:noWrap/>
            <w:vAlign w:val="bottom"/>
            <w:hideMark/>
          </w:tcPr>
          <w:p w14:paraId="0ED31D5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5418DF6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OAG</w:t>
            </w:r>
          </w:p>
        </w:tc>
        <w:tc>
          <w:tcPr>
            <w:tcW w:w="801" w:type="pct"/>
            <w:tcBorders>
              <w:top w:val="nil"/>
              <w:left w:val="nil"/>
              <w:bottom w:val="single" w:sz="4" w:space="0" w:color="auto"/>
              <w:right w:val="single" w:sz="4" w:space="0" w:color="auto"/>
            </w:tcBorders>
            <w:shd w:val="clear" w:color="auto" w:fill="auto"/>
            <w:vAlign w:val="center"/>
            <w:hideMark/>
          </w:tcPr>
          <w:p w14:paraId="5255CC38"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c>
          <w:tcPr>
            <w:tcW w:w="840" w:type="pct"/>
            <w:tcBorders>
              <w:top w:val="nil"/>
              <w:left w:val="nil"/>
              <w:bottom w:val="single" w:sz="4" w:space="0" w:color="auto"/>
              <w:right w:val="single" w:sz="4" w:space="0" w:color="auto"/>
            </w:tcBorders>
            <w:shd w:val="clear" w:color="auto" w:fill="auto"/>
            <w:vAlign w:val="center"/>
            <w:hideMark/>
          </w:tcPr>
          <w:p w14:paraId="40886952"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r>
      <w:tr w:rsidR="00B31120" w:rsidRPr="00B31120" w14:paraId="5597205A" w14:textId="77777777" w:rsidTr="00B31120">
        <w:trPr>
          <w:trHeight w:val="300"/>
        </w:trPr>
        <w:tc>
          <w:tcPr>
            <w:tcW w:w="269" w:type="pct"/>
            <w:tcBorders>
              <w:top w:val="nil"/>
              <w:left w:val="nil"/>
              <w:bottom w:val="nil"/>
              <w:right w:val="nil"/>
            </w:tcBorders>
            <w:shd w:val="clear" w:color="auto" w:fill="auto"/>
            <w:vAlign w:val="bottom"/>
            <w:hideMark/>
          </w:tcPr>
          <w:p w14:paraId="63189CB0"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423FFF7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Executive</w:t>
            </w:r>
          </w:p>
        </w:tc>
        <w:tc>
          <w:tcPr>
            <w:tcW w:w="683" w:type="pct"/>
            <w:tcBorders>
              <w:top w:val="nil"/>
              <w:left w:val="nil"/>
              <w:bottom w:val="single" w:sz="4" w:space="0" w:color="auto"/>
              <w:right w:val="single" w:sz="4" w:space="0" w:color="auto"/>
            </w:tcBorders>
            <w:shd w:val="clear" w:color="auto" w:fill="auto"/>
            <w:noWrap/>
            <w:vAlign w:val="bottom"/>
            <w:hideMark/>
          </w:tcPr>
          <w:p w14:paraId="2C38C89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1974C19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OSIG</w:t>
            </w:r>
          </w:p>
        </w:tc>
        <w:tc>
          <w:tcPr>
            <w:tcW w:w="801" w:type="pct"/>
            <w:tcBorders>
              <w:top w:val="nil"/>
              <w:left w:val="nil"/>
              <w:bottom w:val="single" w:sz="4" w:space="0" w:color="auto"/>
              <w:right w:val="single" w:sz="4" w:space="0" w:color="auto"/>
            </w:tcBorders>
            <w:shd w:val="clear" w:color="auto" w:fill="auto"/>
            <w:vAlign w:val="center"/>
            <w:hideMark/>
          </w:tcPr>
          <w:p w14:paraId="54877725"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6BF29DA8"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50631AF3" w14:textId="77777777" w:rsidTr="00B31120">
        <w:trPr>
          <w:trHeight w:val="300"/>
        </w:trPr>
        <w:tc>
          <w:tcPr>
            <w:tcW w:w="269" w:type="pct"/>
            <w:tcBorders>
              <w:top w:val="nil"/>
              <w:left w:val="nil"/>
              <w:bottom w:val="nil"/>
              <w:right w:val="nil"/>
            </w:tcBorders>
            <w:shd w:val="clear" w:color="auto" w:fill="auto"/>
            <w:vAlign w:val="center"/>
            <w:hideMark/>
          </w:tcPr>
          <w:p w14:paraId="21C1134F"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070E85C9"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Finance</w:t>
            </w:r>
          </w:p>
        </w:tc>
        <w:tc>
          <w:tcPr>
            <w:tcW w:w="683" w:type="pct"/>
            <w:tcBorders>
              <w:top w:val="nil"/>
              <w:left w:val="nil"/>
              <w:bottom w:val="single" w:sz="4" w:space="0" w:color="auto"/>
              <w:right w:val="single" w:sz="4" w:space="0" w:color="auto"/>
            </w:tcBorders>
            <w:shd w:val="clear" w:color="auto" w:fill="auto"/>
            <w:noWrap/>
            <w:vAlign w:val="bottom"/>
            <w:hideMark/>
          </w:tcPr>
          <w:p w14:paraId="532F197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w:t>
            </w:r>
          </w:p>
        </w:tc>
        <w:tc>
          <w:tcPr>
            <w:tcW w:w="643" w:type="pct"/>
            <w:tcBorders>
              <w:top w:val="nil"/>
              <w:left w:val="nil"/>
              <w:bottom w:val="single" w:sz="4" w:space="0" w:color="auto"/>
              <w:right w:val="single" w:sz="4" w:space="0" w:color="auto"/>
            </w:tcBorders>
            <w:shd w:val="clear" w:color="auto" w:fill="auto"/>
            <w:vAlign w:val="bottom"/>
            <w:hideMark/>
          </w:tcPr>
          <w:p w14:paraId="50F06223"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DOA</w:t>
            </w:r>
          </w:p>
        </w:tc>
        <w:tc>
          <w:tcPr>
            <w:tcW w:w="801" w:type="pct"/>
            <w:tcBorders>
              <w:top w:val="nil"/>
              <w:left w:val="nil"/>
              <w:bottom w:val="single" w:sz="4" w:space="0" w:color="auto"/>
              <w:right w:val="single" w:sz="4" w:space="0" w:color="auto"/>
            </w:tcBorders>
            <w:shd w:val="clear" w:color="auto" w:fill="auto"/>
            <w:vAlign w:val="center"/>
            <w:hideMark/>
          </w:tcPr>
          <w:p w14:paraId="2047A6F0"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77DC101D"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4C60A230" w14:textId="77777777" w:rsidTr="00B31120">
        <w:trPr>
          <w:trHeight w:val="300"/>
        </w:trPr>
        <w:tc>
          <w:tcPr>
            <w:tcW w:w="269" w:type="pct"/>
            <w:tcBorders>
              <w:top w:val="nil"/>
              <w:left w:val="nil"/>
              <w:bottom w:val="nil"/>
              <w:right w:val="nil"/>
            </w:tcBorders>
            <w:shd w:val="clear" w:color="auto" w:fill="auto"/>
            <w:vAlign w:val="bottom"/>
            <w:hideMark/>
          </w:tcPr>
          <w:p w14:paraId="050DC43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7C2CD641"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Finance</w:t>
            </w:r>
          </w:p>
        </w:tc>
        <w:tc>
          <w:tcPr>
            <w:tcW w:w="683" w:type="pct"/>
            <w:tcBorders>
              <w:top w:val="nil"/>
              <w:left w:val="nil"/>
              <w:bottom w:val="single" w:sz="4" w:space="0" w:color="auto"/>
              <w:right w:val="single" w:sz="4" w:space="0" w:color="auto"/>
            </w:tcBorders>
            <w:shd w:val="clear" w:color="auto" w:fill="auto"/>
            <w:noWrap/>
            <w:vAlign w:val="bottom"/>
            <w:hideMark/>
          </w:tcPr>
          <w:p w14:paraId="5F2473D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147E2062"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DPB</w:t>
            </w:r>
          </w:p>
        </w:tc>
        <w:tc>
          <w:tcPr>
            <w:tcW w:w="801" w:type="pct"/>
            <w:tcBorders>
              <w:top w:val="nil"/>
              <w:left w:val="nil"/>
              <w:bottom w:val="single" w:sz="4" w:space="0" w:color="auto"/>
              <w:right w:val="single" w:sz="4" w:space="0" w:color="auto"/>
            </w:tcBorders>
            <w:shd w:val="clear" w:color="auto" w:fill="auto"/>
            <w:vAlign w:val="center"/>
            <w:hideMark/>
          </w:tcPr>
          <w:p w14:paraId="3A419E6B"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026734C9"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7186C33E" w14:textId="77777777" w:rsidTr="00B31120">
        <w:trPr>
          <w:trHeight w:val="300"/>
        </w:trPr>
        <w:tc>
          <w:tcPr>
            <w:tcW w:w="269" w:type="pct"/>
            <w:tcBorders>
              <w:top w:val="nil"/>
              <w:left w:val="nil"/>
              <w:bottom w:val="nil"/>
              <w:right w:val="nil"/>
            </w:tcBorders>
            <w:shd w:val="clear" w:color="auto" w:fill="auto"/>
            <w:vAlign w:val="bottom"/>
            <w:hideMark/>
          </w:tcPr>
          <w:p w14:paraId="323AFADC"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1BB69839"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Finance</w:t>
            </w:r>
          </w:p>
        </w:tc>
        <w:tc>
          <w:tcPr>
            <w:tcW w:w="683" w:type="pct"/>
            <w:tcBorders>
              <w:top w:val="nil"/>
              <w:left w:val="nil"/>
              <w:bottom w:val="single" w:sz="4" w:space="0" w:color="auto"/>
              <w:right w:val="single" w:sz="4" w:space="0" w:color="auto"/>
            </w:tcBorders>
            <w:shd w:val="clear" w:color="auto" w:fill="auto"/>
            <w:noWrap/>
            <w:vAlign w:val="bottom"/>
            <w:hideMark/>
          </w:tcPr>
          <w:p w14:paraId="46FA956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164364D2"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TAX</w:t>
            </w:r>
          </w:p>
        </w:tc>
        <w:tc>
          <w:tcPr>
            <w:tcW w:w="801" w:type="pct"/>
            <w:tcBorders>
              <w:top w:val="nil"/>
              <w:left w:val="nil"/>
              <w:bottom w:val="single" w:sz="4" w:space="0" w:color="auto"/>
              <w:right w:val="single" w:sz="4" w:space="0" w:color="auto"/>
            </w:tcBorders>
            <w:shd w:val="clear" w:color="auto" w:fill="auto"/>
            <w:vAlign w:val="center"/>
            <w:hideMark/>
          </w:tcPr>
          <w:p w14:paraId="69BA84F0"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338ADE81"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r>
      <w:tr w:rsidR="00B31120" w:rsidRPr="00B31120" w14:paraId="11FDA2CC" w14:textId="77777777" w:rsidTr="00B31120">
        <w:trPr>
          <w:trHeight w:val="300"/>
        </w:trPr>
        <w:tc>
          <w:tcPr>
            <w:tcW w:w="269" w:type="pct"/>
            <w:tcBorders>
              <w:top w:val="nil"/>
              <w:left w:val="nil"/>
              <w:bottom w:val="nil"/>
              <w:right w:val="nil"/>
            </w:tcBorders>
            <w:shd w:val="clear" w:color="auto" w:fill="auto"/>
            <w:vAlign w:val="bottom"/>
            <w:hideMark/>
          </w:tcPr>
          <w:p w14:paraId="59FD0D32"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5BF011C0"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Finance</w:t>
            </w:r>
          </w:p>
        </w:tc>
        <w:tc>
          <w:tcPr>
            <w:tcW w:w="683" w:type="pct"/>
            <w:tcBorders>
              <w:top w:val="nil"/>
              <w:left w:val="nil"/>
              <w:bottom w:val="single" w:sz="4" w:space="0" w:color="auto"/>
              <w:right w:val="single" w:sz="4" w:space="0" w:color="auto"/>
            </w:tcBorders>
            <w:shd w:val="clear" w:color="auto" w:fill="auto"/>
            <w:noWrap/>
            <w:vAlign w:val="bottom"/>
            <w:hideMark/>
          </w:tcPr>
          <w:p w14:paraId="23E5E3B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455EC691"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TD</w:t>
            </w:r>
          </w:p>
        </w:tc>
        <w:tc>
          <w:tcPr>
            <w:tcW w:w="801" w:type="pct"/>
            <w:tcBorders>
              <w:top w:val="nil"/>
              <w:left w:val="nil"/>
              <w:bottom w:val="single" w:sz="4" w:space="0" w:color="auto"/>
              <w:right w:val="single" w:sz="4" w:space="0" w:color="auto"/>
            </w:tcBorders>
            <w:shd w:val="clear" w:color="auto" w:fill="auto"/>
            <w:vAlign w:val="center"/>
            <w:hideMark/>
          </w:tcPr>
          <w:p w14:paraId="6AC50BFE"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c>
          <w:tcPr>
            <w:tcW w:w="840" w:type="pct"/>
            <w:tcBorders>
              <w:top w:val="nil"/>
              <w:left w:val="nil"/>
              <w:bottom w:val="single" w:sz="4" w:space="0" w:color="auto"/>
              <w:right w:val="single" w:sz="4" w:space="0" w:color="auto"/>
            </w:tcBorders>
            <w:shd w:val="clear" w:color="auto" w:fill="auto"/>
            <w:vAlign w:val="center"/>
            <w:hideMark/>
          </w:tcPr>
          <w:p w14:paraId="246A02E4"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496DD552" w14:textId="77777777" w:rsidTr="00B31120">
        <w:trPr>
          <w:trHeight w:val="300"/>
        </w:trPr>
        <w:tc>
          <w:tcPr>
            <w:tcW w:w="269" w:type="pct"/>
            <w:tcBorders>
              <w:top w:val="nil"/>
              <w:left w:val="nil"/>
              <w:bottom w:val="nil"/>
              <w:right w:val="nil"/>
            </w:tcBorders>
            <w:shd w:val="clear" w:color="auto" w:fill="auto"/>
            <w:vAlign w:val="bottom"/>
            <w:hideMark/>
          </w:tcPr>
          <w:p w14:paraId="4A5B27E7"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2616A0D0"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Finance</w:t>
            </w:r>
          </w:p>
        </w:tc>
        <w:tc>
          <w:tcPr>
            <w:tcW w:w="683" w:type="pct"/>
            <w:tcBorders>
              <w:top w:val="nil"/>
              <w:left w:val="nil"/>
              <w:bottom w:val="single" w:sz="4" w:space="0" w:color="auto"/>
              <w:right w:val="single" w:sz="4" w:space="0" w:color="auto"/>
            </w:tcBorders>
            <w:shd w:val="clear" w:color="auto" w:fill="auto"/>
            <w:noWrap/>
            <w:vAlign w:val="bottom"/>
            <w:hideMark/>
          </w:tcPr>
          <w:p w14:paraId="4D240183"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795AD009"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VRA</w:t>
            </w:r>
          </w:p>
        </w:tc>
        <w:tc>
          <w:tcPr>
            <w:tcW w:w="801" w:type="pct"/>
            <w:tcBorders>
              <w:top w:val="nil"/>
              <w:left w:val="nil"/>
              <w:bottom w:val="single" w:sz="4" w:space="0" w:color="auto"/>
              <w:right w:val="single" w:sz="4" w:space="0" w:color="auto"/>
            </w:tcBorders>
            <w:shd w:val="clear" w:color="auto" w:fill="auto"/>
            <w:vAlign w:val="center"/>
            <w:hideMark/>
          </w:tcPr>
          <w:p w14:paraId="47504F0A"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c>
          <w:tcPr>
            <w:tcW w:w="840" w:type="pct"/>
            <w:tcBorders>
              <w:top w:val="nil"/>
              <w:left w:val="nil"/>
              <w:bottom w:val="single" w:sz="4" w:space="0" w:color="auto"/>
              <w:right w:val="single" w:sz="4" w:space="0" w:color="auto"/>
            </w:tcBorders>
            <w:shd w:val="clear" w:color="auto" w:fill="auto"/>
            <w:vAlign w:val="center"/>
            <w:hideMark/>
          </w:tcPr>
          <w:p w14:paraId="6EF5092C"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r>
      <w:tr w:rsidR="00B31120" w:rsidRPr="00B31120" w14:paraId="2400F732" w14:textId="77777777" w:rsidTr="00B31120">
        <w:trPr>
          <w:trHeight w:val="300"/>
        </w:trPr>
        <w:tc>
          <w:tcPr>
            <w:tcW w:w="269" w:type="pct"/>
            <w:tcBorders>
              <w:top w:val="nil"/>
              <w:left w:val="nil"/>
              <w:bottom w:val="nil"/>
              <w:right w:val="nil"/>
            </w:tcBorders>
            <w:shd w:val="clear" w:color="auto" w:fill="auto"/>
            <w:vAlign w:val="bottom"/>
            <w:hideMark/>
          </w:tcPr>
          <w:p w14:paraId="159D79B1"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5552390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Health and Human Resources</w:t>
            </w:r>
          </w:p>
        </w:tc>
        <w:tc>
          <w:tcPr>
            <w:tcW w:w="683" w:type="pct"/>
            <w:tcBorders>
              <w:top w:val="nil"/>
              <w:left w:val="nil"/>
              <w:bottom w:val="single" w:sz="4" w:space="0" w:color="auto"/>
              <w:right w:val="single" w:sz="4" w:space="0" w:color="auto"/>
            </w:tcBorders>
            <w:shd w:val="clear" w:color="auto" w:fill="auto"/>
            <w:noWrap/>
            <w:vAlign w:val="bottom"/>
            <w:hideMark/>
          </w:tcPr>
          <w:p w14:paraId="4E63283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w:t>
            </w:r>
          </w:p>
        </w:tc>
        <w:tc>
          <w:tcPr>
            <w:tcW w:w="643" w:type="pct"/>
            <w:tcBorders>
              <w:top w:val="nil"/>
              <w:left w:val="nil"/>
              <w:bottom w:val="single" w:sz="4" w:space="0" w:color="auto"/>
              <w:right w:val="single" w:sz="4" w:space="0" w:color="auto"/>
            </w:tcBorders>
            <w:shd w:val="clear" w:color="auto" w:fill="auto"/>
            <w:vAlign w:val="bottom"/>
            <w:hideMark/>
          </w:tcPr>
          <w:p w14:paraId="4D0BDD2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CSA</w:t>
            </w:r>
          </w:p>
        </w:tc>
        <w:tc>
          <w:tcPr>
            <w:tcW w:w="801" w:type="pct"/>
            <w:tcBorders>
              <w:top w:val="nil"/>
              <w:left w:val="nil"/>
              <w:bottom w:val="single" w:sz="4" w:space="0" w:color="auto"/>
              <w:right w:val="single" w:sz="4" w:space="0" w:color="auto"/>
            </w:tcBorders>
            <w:shd w:val="clear" w:color="auto" w:fill="auto"/>
            <w:vAlign w:val="center"/>
            <w:hideMark/>
          </w:tcPr>
          <w:p w14:paraId="45C7356B"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c>
          <w:tcPr>
            <w:tcW w:w="840" w:type="pct"/>
            <w:tcBorders>
              <w:top w:val="nil"/>
              <w:left w:val="nil"/>
              <w:bottom w:val="single" w:sz="4" w:space="0" w:color="auto"/>
              <w:right w:val="single" w:sz="4" w:space="0" w:color="auto"/>
            </w:tcBorders>
            <w:shd w:val="clear" w:color="auto" w:fill="auto"/>
            <w:vAlign w:val="center"/>
            <w:hideMark/>
          </w:tcPr>
          <w:p w14:paraId="06591ED8"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C</w:t>
            </w:r>
          </w:p>
        </w:tc>
      </w:tr>
      <w:tr w:rsidR="00B31120" w:rsidRPr="00B31120" w14:paraId="6E1F1915" w14:textId="77777777" w:rsidTr="00B31120">
        <w:trPr>
          <w:trHeight w:val="300"/>
        </w:trPr>
        <w:tc>
          <w:tcPr>
            <w:tcW w:w="269" w:type="pct"/>
            <w:tcBorders>
              <w:top w:val="nil"/>
              <w:left w:val="nil"/>
              <w:bottom w:val="nil"/>
              <w:right w:val="nil"/>
            </w:tcBorders>
            <w:shd w:val="clear" w:color="auto" w:fill="auto"/>
            <w:vAlign w:val="bottom"/>
            <w:hideMark/>
          </w:tcPr>
          <w:p w14:paraId="541811E1"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3A72C0F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Health and Human Resources</w:t>
            </w:r>
          </w:p>
        </w:tc>
        <w:tc>
          <w:tcPr>
            <w:tcW w:w="683" w:type="pct"/>
            <w:tcBorders>
              <w:top w:val="nil"/>
              <w:left w:val="nil"/>
              <w:bottom w:val="single" w:sz="4" w:space="0" w:color="auto"/>
              <w:right w:val="single" w:sz="4" w:space="0" w:color="auto"/>
            </w:tcBorders>
            <w:shd w:val="clear" w:color="auto" w:fill="auto"/>
            <w:noWrap/>
            <w:vAlign w:val="bottom"/>
            <w:hideMark/>
          </w:tcPr>
          <w:p w14:paraId="5F62014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4DD8AF9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DARS</w:t>
            </w:r>
          </w:p>
        </w:tc>
        <w:tc>
          <w:tcPr>
            <w:tcW w:w="801" w:type="pct"/>
            <w:tcBorders>
              <w:top w:val="nil"/>
              <w:left w:val="nil"/>
              <w:bottom w:val="single" w:sz="4" w:space="0" w:color="auto"/>
              <w:right w:val="single" w:sz="4" w:space="0" w:color="auto"/>
            </w:tcBorders>
            <w:shd w:val="clear" w:color="auto" w:fill="auto"/>
            <w:vAlign w:val="center"/>
            <w:hideMark/>
          </w:tcPr>
          <w:p w14:paraId="66EB7106"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715BE9A3"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r>
      <w:tr w:rsidR="00B31120" w:rsidRPr="00B31120" w14:paraId="18B48554" w14:textId="77777777" w:rsidTr="00B31120">
        <w:trPr>
          <w:trHeight w:val="300"/>
        </w:trPr>
        <w:tc>
          <w:tcPr>
            <w:tcW w:w="269" w:type="pct"/>
            <w:tcBorders>
              <w:top w:val="nil"/>
              <w:left w:val="nil"/>
              <w:bottom w:val="nil"/>
              <w:right w:val="nil"/>
            </w:tcBorders>
            <w:shd w:val="clear" w:color="auto" w:fill="auto"/>
            <w:vAlign w:val="bottom"/>
            <w:hideMark/>
          </w:tcPr>
          <w:p w14:paraId="3A123909"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6822D23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Health and Human Resources</w:t>
            </w:r>
          </w:p>
        </w:tc>
        <w:tc>
          <w:tcPr>
            <w:tcW w:w="683" w:type="pct"/>
            <w:tcBorders>
              <w:top w:val="nil"/>
              <w:left w:val="nil"/>
              <w:bottom w:val="single" w:sz="4" w:space="0" w:color="auto"/>
              <w:right w:val="single" w:sz="4" w:space="0" w:color="auto"/>
            </w:tcBorders>
            <w:shd w:val="clear" w:color="auto" w:fill="auto"/>
            <w:noWrap/>
            <w:vAlign w:val="bottom"/>
            <w:hideMark/>
          </w:tcPr>
          <w:p w14:paraId="1AE7F19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4F2CAEC9"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DBHDS</w:t>
            </w:r>
          </w:p>
        </w:tc>
        <w:tc>
          <w:tcPr>
            <w:tcW w:w="801" w:type="pct"/>
            <w:tcBorders>
              <w:top w:val="nil"/>
              <w:left w:val="nil"/>
              <w:bottom w:val="single" w:sz="4" w:space="0" w:color="auto"/>
              <w:right w:val="single" w:sz="4" w:space="0" w:color="auto"/>
            </w:tcBorders>
            <w:shd w:val="clear" w:color="auto" w:fill="auto"/>
            <w:vAlign w:val="center"/>
            <w:hideMark/>
          </w:tcPr>
          <w:p w14:paraId="32851640"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c>
          <w:tcPr>
            <w:tcW w:w="840" w:type="pct"/>
            <w:tcBorders>
              <w:top w:val="nil"/>
              <w:left w:val="nil"/>
              <w:bottom w:val="single" w:sz="4" w:space="0" w:color="auto"/>
              <w:right w:val="single" w:sz="4" w:space="0" w:color="auto"/>
            </w:tcBorders>
            <w:shd w:val="clear" w:color="auto" w:fill="auto"/>
            <w:vAlign w:val="center"/>
            <w:hideMark/>
          </w:tcPr>
          <w:p w14:paraId="36B35444"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r>
      <w:tr w:rsidR="00B31120" w:rsidRPr="00B31120" w14:paraId="338B17F1" w14:textId="77777777" w:rsidTr="00B31120">
        <w:trPr>
          <w:trHeight w:val="300"/>
        </w:trPr>
        <w:tc>
          <w:tcPr>
            <w:tcW w:w="269" w:type="pct"/>
            <w:tcBorders>
              <w:top w:val="nil"/>
              <w:left w:val="nil"/>
              <w:bottom w:val="nil"/>
              <w:right w:val="nil"/>
            </w:tcBorders>
            <w:shd w:val="clear" w:color="auto" w:fill="auto"/>
            <w:vAlign w:val="center"/>
            <w:hideMark/>
          </w:tcPr>
          <w:p w14:paraId="606BAC13"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1DB53676"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Health and Human Resources</w:t>
            </w:r>
          </w:p>
        </w:tc>
        <w:tc>
          <w:tcPr>
            <w:tcW w:w="683" w:type="pct"/>
            <w:tcBorders>
              <w:top w:val="nil"/>
              <w:left w:val="nil"/>
              <w:bottom w:val="single" w:sz="4" w:space="0" w:color="auto"/>
              <w:right w:val="single" w:sz="4" w:space="0" w:color="auto"/>
            </w:tcBorders>
            <w:shd w:val="clear" w:color="auto" w:fill="auto"/>
            <w:noWrap/>
            <w:vAlign w:val="bottom"/>
            <w:hideMark/>
          </w:tcPr>
          <w:p w14:paraId="4BF71360"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w:t>
            </w:r>
          </w:p>
        </w:tc>
        <w:tc>
          <w:tcPr>
            <w:tcW w:w="643" w:type="pct"/>
            <w:tcBorders>
              <w:top w:val="nil"/>
              <w:left w:val="nil"/>
              <w:bottom w:val="single" w:sz="4" w:space="0" w:color="auto"/>
              <w:right w:val="single" w:sz="4" w:space="0" w:color="auto"/>
            </w:tcBorders>
            <w:shd w:val="clear" w:color="auto" w:fill="auto"/>
            <w:vAlign w:val="bottom"/>
            <w:hideMark/>
          </w:tcPr>
          <w:p w14:paraId="60AF20C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DDHH</w:t>
            </w:r>
          </w:p>
        </w:tc>
        <w:tc>
          <w:tcPr>
            <w:tcW w:w="801" w:type="pct"/>
            <w:tcBorders>
              <w:top w:val="nil"/>
              <w:left w:val="nil"/>
              <w:bottom w:val="single" w:sz="4" w:space="0" w:color="auto"/>
              <w:right w:val="single" w:sz="4" w:space="0" w:color="auto"/>
            </w:tcBorders>
            <w:shd w:val="clear" w:color="auto" w:fill="auto"/>
            <w:vAlign w:val="center"/>
            <w:hideMark/>
          </w:tcPr>
          <w:p w14:paraId="10B4AE45"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7E8E48C8"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53D7F386" w14:textId="77777777" w:rsidTr="00B31120">
        <w:trPr>
          <w:trHeight w:val="300"/>
        </w:trPr>
        <w:tc>
          <w:tcPr>
            <w:tcW w:w="269" w:type="pct"/>
            <w:tcBorders>
              <w:top w:val="nil"/>
              <w:left w:val="nil"/>
              <w:bottom w:val="nil"/>
              <w:right w:val="nil"/>
            </w:tcBorders>
            <w:shd w:val="clear" w:color="auto" w:fill="auto"/>
            <w:vAlign w:val="bottom"/>
            <w:hideMark/>
          </w:tcPr>
          <w:p w14:paraId="7A2258FB"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12BC8C9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Health and Human Resources</w:t>
            </w:r>
          </w:p>
        </w:tc>
        <w:tc>
          <w:tcPr>
            <w:tcW w:w="683" w:type="pct"/>
            <w:tcBorders>
              <w:top w:val="nil"/>
              <w:left w:val="nil"/>
              <w:bottom w:val="single" w:sz="4" w:space="0" w:color="auto"/>
              <w:right w:val="single" w:sz="4" w:space="0" w:color="auto"/>
            </w:tcBorders>
            <w:shd w:val="clear" w:color="auto" w:fill="auto"/>
            <w:noWrap/>
            <w:vAlign w:val="bottom"/>
            <w:hideMark/>
          </w:tcPr>
          <w:p w14:paraId="666B77C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43DE8966"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DHP</w:t>
            </w:r>
          </w:p>
        </w:tc>
        <w:tc>
          <w:tcPr>
            <w:tcW w:w="801" w:type="pct"/>
            <w:tcBorders>
              <w:top w:val="nil"/>
              <w:left w:val="nil"/>
              <w:bottom w:val="single" w:sz="4" w:space="0" w:color="auto"/>
              <w:right w:val="single" w:sz="4" w:space="0" w:color="auto"/>
            </w:tcBorders>
            <w:shd w:val="clear" w:color="auto" w:fill="auto"/>
            <w:vAlign w:val="center"/>
            <w:hideMark/>
          </w:tcPr>
          <w:p w14:paraId="4934619A"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79913CD7"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1AD6528F" w14:textId="77777777" w:rsidTr="00B31120">
        <w:trPr>
          <w:trHeight w:val="300"/>
        </w:trPr>
        <w:tc>
          <w:tcPr>
            <w:tcW w:w="269" w:type="pct"/>
            <w:tcBorders>
              <w:top w:val="nil"/>
              <w:left w:val="nil"/>
              <w:bottom w:val="nil"/>
              <w:right w:val="nil"/>
            </w:tcBorders>
            <w:shd w:val="clear" w:color="auto" w:fill="auto"/>
            <w:vAlign w:val="bottom"/>
            <w:hideMark/>
          </w:tcPr>
          <w:p w14:paraId="1EA6396B"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69F57A43"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Health and Human Resources</w:t>
            </w:r>
          </w:p>
        </w:tc>
        <w:tc>
          <w:tcPr>
            <w:tcW w:w="683" w:type="pct"/>
            <w:tcBorders>
              <w:top w:val="nil"/>
              <w:left w:val="nil"/>
              <w:bottom w:val="single" w:sz="4" w:space="0" w:color="auto"/>
              <w:right w:val="single" w:sz="4" w:space="0" w:color="auto"/>
            </w:tcBorders>
            <w:shd w:val="clear" w:color="auto" w:fill="auto"/>
            <w:noWrap/>
            <w:vAlign w:val="bottom"/>
            <w:hideMark/>
          </w:tcPr>
          <w:p w14:paraId="0960459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4D5B79B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DMAS</w:t>
            </w:r>
          </w:p>
        </w:tc>
        <w:tc>
          <w:tcPr>
            <w:tcW w:w="801" w:type="pct"/>
            <w:tcBorders>
              <w:top w:val="nil"/>
              <w:left w:val="nil"/>
              <w:bottom w:val="single" w:sz="4" w:space="0" w:color="auto"/>
              <w:right w:val="single" w:sz="4" w:space="0" w:color="auto"/>
            </w:tcBorders>
            <w:shd w:val="clear" w:color="auto" w:fill="auto"/>
            <w:vAlign w:val="center"/>
            <w:hideMark/>
          </w:tcPr>
          <w:p w14:paraId="7FDA5A43"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c>
          <w:tcPr>
            <w:tcW w:w="840" w:type="pct"/>
            <w:tcBorders>
              <w:top w:val="nil"/>
              <w:left w:val="nil"/>
              <w:bottom w:val="single" w:sz="4" w:space="0" w:color="auto"/>
              <w:right w:val="single" w:sz="4" w:space="0" w:color="auto"/>
            </w:tcBorders>
            <w:shd w:val="clear" w:color="auto" w:fill="auto"/>
            <w:vAlign w:val="center"/>
            <w:hideMark/>
          </w:tcPr>
          <w:p w14:paraId="76C5BC50"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C</w:t>
            </w:r>
          </w:p>
        </w:tc>
      </w:tr>
      <w:tr w:rsidR="00B31120" w:rsidRPr="00B31120" w14:paraId="38006BA1" w14:textId="77777777" w:rsidTr="00B31120">
        <w:trPr>
          <w:trHeight w:val="300"/>
        </w:trPr>
        <w:tc>
          <w:tcPr>
            <w:tcW w:w="269" w:type="pct"/>
            <w:tcBorders>
              <w:top w:val="nil"/>
              <w:left w:val="nil"/>
              <w:bottom w:val="nil"/>
              <w:right w:val="nil"/>
            </w:tcBorders>
            <w:shd w:val="clear" w:color="auto" w:fill="auto"/>
            <w:vAlign w:val="bottom"/>
            <w:hideMark/>
          </w:tcPr>
          <w:p w14:paraId="2B29F76A"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0405719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Health and Human Resources</w:t>
            </w:r>
          </w:p>
        </w:tc>
        <w:tc>
          <w:tcPr>
            <w:tcW w:w="683" w:type="pct"/>
            <w:tcBorders>
              <w:top w:val="nil"/>
              <w:left w:val="nil"/>
              <w:bottom w:val="single" w:sz="4" w:space="0" w:color="auto"/>
              <w:right w:val="single" w:sz="4" w:space="0" w:color="auto"/>
            </w:tcBorders>
            <w:shd w:val="clear" w:color="auto" w:fill="auto"/>
            <w:noWrap/>
            <w:vAlign w:val="bottom"/>
            <w:hideMark/>
          </w:tcPr>
          <w:p w14:paraId="5FE30CF6"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24751D2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DSS</w:t>
            </w:r>
          </w:p>
        </w:tc>
        <w:tc>
          <w:tcPr>
            <w:tcW w:w="801" w:type="pct"/>
            <w:tcBorders>
              <w:top w:val="nil"/>
              <w:left w:val="nil"/>
              <w:bottom w:val="single" w:sz="4" w:space="0" w:color="auto"/>
              <w:right w:val="single" w:sz="4" w:space="0" w:color="auto"/>
            </w:tcBorders>
            <w:shd w:val="clear" w:color="auto" w:fill="auto"/>
            <w:vAlign w:val="center"/>
            <w:hideMark/>
          </w:tcPr>
          <w:p w14:paraId="0ACCAE9B"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c>
          <w:tcPr>
            <w:tcW w:w="840" w:type="pct"/>
            <w:tcBorders>
              <w:top w:val="nil"/>
              <w:left w:val="nil"/>
              <w:bottom w:val="single" w:sz="4" w:space="0" w:color="auto"/>
              <w:right w:val="single" w:sz="4" w:space="0" w:color="auto"/>
            </w:tcBorders>
            <w:shd w:val="clear" w:color="auto" w:fill="auto"/>
            <w:vAlign w:val="center"/>
            <w:hideMark/>
          </w:tcPr>
          <w:p w14:paraId="6953340B"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r>
      <w:tr w:rsidR="00B31120" w:rsidRPr="00B31120" w14:paraId="763571E3" w14:textId="77777777" w:rsidTr="00B31120">
        <w:trPr>
          <w:trHeight w:val="300"/>
        </w:trPr>
        <w:tc>
          <w:tcPr>
            <w:tcW w:w="269" w:type="pct"/>
            <w:tcBorders>
              <w:top w:val="nil"/>
              <w:left w:val="nil"/>
              <w:bottom w:val="nil"/>
              <w:right w:val="nil"/>
            </w:tcBorders>
            <w:shd w:val="clear" w:color="auto" w:fill="auto"/>
            <w:vAlign w:val="bottom"/>
            <w:hideMark/>
          </w:tcPr>
          <w:p w14:paraId="032DCCF8"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0F1CF288"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Health and Human Resources</w:t>
            </w:r>
          </w:p>
        </w:tc>
        <w:tc>
          <w:tcPr>
            <w:tcW w:w="683" w:type="pct"/>
            <w:tcBorders>
              <w:top w:val="nil"/>
              <w:left w:val="nil"/>
              <w:bottom w:val="single" w:sz="4" w:space="0" w:color="auto"/>
              <w:right w:val="single" w:sz="4" w:space="0" w:color="auto"/>
            </w:tcBorders>
            <w:shd w:val="clear" w:color="auto" w:fill="auto"/>
            <w:noWrap/>
            <w:vAlign w:val="bottom"/>
            <w:hideMark/>
          </w:tcPr>
          <w:p w14:paraId="6490F3D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27E87FC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VDH</w:t>
            </w:r>
          </w:p>
        </w:tc>
        <w:tc>
          <w:tcPr>
            <w:tcW w:w="801" w:type="pct"/>
            <w:tcBorders>
              <w:top w:val="nil"/>
              <w:left w:val="nil"/>
              <w:bottom w:val="single" w:sz="4" w:space="0" w:color="auto"/>
              <w:right w:val="single" w:sz="4" w:space="0" w:color="auto"/>
            </w:tcBorders>
            <w:shd w:val="clear" w:color="auto" w:fill="auto"/>
            <w:vAlign w:val="center"/>
            <w:hideMark/>
          </w:tcPr>
          <w:p w14:paraId="34A9D637"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c>
          <w:tcPr>
            <w:tcW w:w="840" w:type="pct"/>
            <w:tcBorders>
              <w:top w:val="nil"/>
              <w:left w:val="nil"/>
              <w:bottom w:val="single" w:sz="4" w:space="0" w:color="auto"/>
              <w:right w:val="single" w:sz="4" w:space="0" w:color="auto"/>
            </w:tcBorders>
            <w:shd w:val="clear" w:color="auto" w:fill="auto"/>
            <w:vAlign w:val="center"/>
            <w:hideMark/>
          </w:tcPr>
          <w:p w14:paraId="728BBF43"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6DC616FF" w14:textId="77777777" w:rsidTr="00B31120">
        <w:trPr>
          <w:trHeight w:val="300"/>
        </w:trPr>
        <w:tc>
          <w:tcPr>
            <w:tcW w:w="269" w:type="pct"/>
            <w:tcBorders>
              <w:top w:val="nil"/>
              <w:left w:val="nil"/>
              <w:bottom w:val="nil"/>
              <w:right w:val="nil"/>
            </w:tcBorders>
            <w:shd w:val="clear" w:color="auto" w:fill="auto"/>
            <w:vAlign w:val="bottom"/>
            <w:hideMark/>
          </w:tcPr>
          <w:p w14:paraId="7B5EF7BD"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05530B9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Health and Human Resources</w:t>
            </w:r>
          </w:p>
        </w:tc>
        <w:tc>
          <w:tcPr>
            <w:tcW w:w="683" w:type="pct"/>
            <w:tcBorders>
              <w:top w:val="nil"/>
              <w:left w:val="nil"/>
              <w:bottom w:val="single" w:sz="4" w:space="0" w:color="auto"/>
              <w:right w:val="single" w:sz="4" w:space="0" w:color="auto"/>
            </w:tcBorders>
            <w:shd w:val="clear" w:color="auto" w:fill="auto"/>
            <w:noWrap/>
            <w:vAlign w:val="bottom"/>
            <w:hideMark/>
          </w:tcPr>
          <w:p w14:paraId="5DF16CE9"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11EC0F8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VFHY</w:t>
            </w:r>
          </w:p>
        </w:tc>
        <w:tc>
          <w:tcPr>
            <w:tcW w:w="801" w:type="pct"/>
            <w:tcBorders>
              <w:top w:val="nil"/>
              <w:left w:val="nil"/>
              <w:bottom w:val="single" w:sz="4" w:space="0" w:color="auto"/>
              <w:right w:val="single" w:sz="4" w:space="0" w:color="auto"/>
            </w:tcBorders>
            <w:shd w:val="clear" w:color="auto" w:fill="auto"/>
            <w:vAlign w:val="center"/>
            <w:hideMark/>
          </w:tcPr>
          <w:p w14:paraId="5D4916C7"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c>
          <w:tcPr>
            <w:tcW w:w="840" w:type="pct"/>
            <w:tcBorders>
              <w:top w:val="nil"/>
              <w:left w:val="nil"/>
              <w:bottom w:val="single" w:sz="4" w:space="0" w:color="auto"/>
              <w:right w:val="single" w:sz="4" w:space="0" w:color="auto"/>
            </w:tcBorders>
            <w:shd w:val="clear" w:color="auto" w:fill="auto"/>
            <w:vAlign w:val="center"/>
            <w:hideMark/>
          </w:tcPr>
          <w:p w14:paraId="57FBB11A"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r>
      <w:tr w:rsidR="00B31120" w:rsidRPr="00B31120" w14:paraId="30D7913A" w14:textId="77777777" w:rsidTr="00B31120">
        <w:trPr>
          <w:trHeight w:val="300"/>
        </w:trPr>
        <w:tc>
          <w:tcPr>
            <w:tcW w:w="269" w:type="pct"/>
            <w:tcBorders>
              <w:top w:val="nil"/>
              <w:left w:val="nil"/>
              <w:bottom w:val="nil"/>
              <w:right w:val="nil"/>
            </w:tcBorders>
            <w:shd w:val="clear" w:color="auto" w:fill="auto"/>
            <w:vAlign w:val="bottom"/>
            <w:hideMark/>
          </w:tcPr>
          <w:p w14:paraId="636D2BB2"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6E323DA1"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Independent</w:t>
            </w:r>
          </w:p>
        </w:tc>
        <w:tc>
          <w:tcPr>
            <w:tcW w:w="683" w:type="pct"/>
            <w:tcBorders>
              <w:top w:val="nil"/>
              <w:left w:val="nil"/>
              <w:bottom w:val="single" w:sz="4" w:space="0" w:color="auto"/>
              <w:right w:val="single" w:sz="4" w:space="0" w:color="auto"/>
            </w:tcBorders>
            <w:shd w:val="clear" w:color="auto" w:fill="auto"/>
            <w:noWrap/>
            <w:vAlign w:val="bottom"/>
            <w:hideMark/>
          </w:tcPr>
          <w:p w14:paraId="18732DE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15B46CF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IDC</w:t>
            </w:r>
          </w:p>
        </w:tc>
        <w:tc>
          <w:tcPr>
            <w:tcW w:w="801" w:type="pct"/>
            <w:tcBorders>
              <w:top w:val="nil"/>
              <w:left w:val="nil"/>
              <w:bottom w:val="single" w:sz="4" w:space="0" w:color="auto"/>
              <w:right w:val="single" w:sz="4" w:space="0" w:color="auto"/>
            </w:tcBorders>
            <w:shd w:val="clear" w:color="auto" w:fill="auto"/>
            <w:vAlign w:val="center"/>
            <w:hideMark/>
          </w:tcPr>
          <w:p w14:paraId="04A1914F"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c>
          <w:tcPr>
            <w:tcW w:w="840" w:type="pct"/>
            <w:tcBorders>
              <w:top w:val="nil"/>
              <w:left w:val="nil"/>
              <w:bottom w:val="single" w:sz="4" w:space="0" w:color="auto"/>
              <w:right w:val="single" w:sz="4" w:space="0" w:color="auto"/>
            </w:tcBorders>
            <w:shd w:val="clear" w:color="auto" w:fill="auto"/>
            <w:vAlign w:val="center"/>
            <w:hideMark/>
          </w:tcPr>
          <w:p w14:paraId="45503394"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03010A01" w14:textId="77777777" w:rsidTr="00B31120">
        <w:trPr>
          <w:trHeight w:val="300"/>
        </w:trPr>
        <w:tc>
          <w:tcPr>
            <w:tcW w:w="269" w:type="pct"/>
            <w:tcBorders>
              <w:top w:val="nil"/>
              <w:left w:val="nil"/>
              <w:bottom w:val="nil"/>
              <w:right w:val="nil"/>
            </w:tcBorders>
            <w:shd w:val="clear" w:color="auto" w:fill="auto"/>
            <w:vAlign w:val="bottom"/>
            <w:hideMark/>
          </w:tcPr>
          <w:p w14:paraId="58EB3D74"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53A16DB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Independent</w:t>
            </w:r>
          </w:p>
        </w:tc>
        <w:tc>
          <w:tcPr>
            <w:tcW w:w="683" w:type="pct"/>
            <w:tcBorders>
              <w:top w:val="nil"/>
              <w:left w:val="nil"/>
              <w:bottom w:val="single" w:sz="4" w:space="0" w:color="auto"/>
              <w:right w:val="single" w:sz="4" w:space="0" w:color="auto"/>
            </w:tcBorders>
            <w:shd w:val="clear" w:color="auto" w:fill="auto"/>
            <w:noWrap/>
            <w:vAlign w:val="bottom"/>
            <w:hideMark/>
          </w:tcPr>
          <w:p w14:paraId="72FC13B9"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4B8D8A28"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SCC</w:t>
            </w:r>
          </w:p>
        </w:tc>
        <w:tc>
          <w:tcPr>
            <w:tcW w:w="801" w:type="pct"/>
            <w:tcBorders>
              <w:top w:val="nil"/>
              <w:left w:val="nil"/>
              <w:bottom w:val="single" w:sz="4" w:space="0" w:color="auto"/>
              <w:right w:val="single" w:sz="4" w:space="0" w:color="auto"/>
            </w:tcBorders>
            <w:shd w:val="clear" w:color="auto" w:fill="auto"/>
            <w:vAlign w:val="center"/>
            <w:hideMark/>
          </w:tcPr>
          <w:p w14:paraId="4445596E"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3384A6D5"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C</w:t>
            </w:r>
          </w:p>
        </w:tc>
      </w:tr>
      <w:tr w:rsidR="00B31120" w:rsidRPr="00B31120" w14:paraId="5DBD27F6" w14:textId="77777777" w:rsidTr="00B31120">
        <w:trPr>
          <w:trHeight w:val="300"/>
        </w:trPr>
        <w:tc>
          <w:tcPr>
            <w:tcW w:w="269" w:type="pct"/>
            <w:tcBorders>
              <w:top w:val="nil"/>
              <w:left w:val="nil"/>
              <w:bottom w:val="nil"/>
              <w:right w:val="nil"/>
            </w:tcBorders>
            <w:shd w:val="clear" w:color="auto" w:fill="auto"/>
            <w:vAlign w:val="bottom"/>
            <w:hideMark/>
          </w:tcPr>
          <w:p w14:paraId="59E98CEC"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6FD01B4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Independent</w:t>
            </w:r>
          </w:p>
        </w:tc>
        <w:tc>
          <w:tcPr>
            <w:tcW w:w="683" w:type="pct"/>
            <w:tcBorders>
              <w:top w:val="nil"/>
              <w:left w:val="nil"/>
              <w:bottom w:val="single" w:sz="4" w:space="0" w:color="auto"/>
              <w:right w:val="single" w:sz="4" w:space="0" w:color="auto"/>
            </w:tcBorders>
            <w:shd w:val="clear" w:color="auto" w:fill="auto"/>
            <w:noWrap/>
            <w:vAlign w:val="bottom"/>
            <w:hideMark/>
          </w:tcPr>
          <w:p w14:paraId="1DB3E9C2"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1A1B855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SLD</w:t>
            </w:r>
          </w:p>
        </w:tc>
        <w:tc>
          <w:tcPr>
            <w:tcW w:w="801" w:type="pct"/>
            <w:tcBorders>
              <w:top w:val="nil"/>
              <w:left w:val="nil"/>
              <w:bottom w:val="single" w:sz="4" w:space="0" w:color="auto"/>
              <w:right w:val="single" w:sz="4" w:space="0" w:color="auto"/>
            </w:tcBorders>
            <w:shd w:val="clear" w:color="auto" w:fill="auto"/>
            <w:vAlign w:val="center"/>
            <w:hideMark/>
          </w:tcPr>
          <w:p w14:paraId="644F39BD"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C</w:t>
            </w:r>
          </w:p>
        </w:tc>
        <w:tc>
          <w:tcPr>
            <w:tcW w:w="840" w:type="pct"/>
            <w:tcBorders>
              <w:top w:val="nil"/>
              <w:left w:val="nil"/>
              <w:bottom w:val="single" w:sz="4" w:space="0" w:color="auto"/>
              <w:right w:val="single" w:sz="4" w:space="0" w:color="auto"/>
            </w:tcBorders>
            <w:shd w:val="clear" w:color="auto" w:fill="auto"/>
            <w:vAlign w:val="center"/>
            <w:hideMark/>
          </w:tcPr>
          <w:p w14:paraId="4E66EDC9"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r>
      <w:tr w:rsidR="00B31120" w:rsidRPr="00B31120" w14:paraId="2DC74D58" w14:textId="77777777" w:rsidTr="00B31120">
        <w:trPr>
          <w:trHeight w:val="300"/>
        </w:trPr>
        <w:tc>
          <w:tcPr>
            <w:tcW w:w="269" w:type="pct"/>
            <w:tcBorders>
              <w:top w:val="nil"/>
              <w:left w:val="nil"/>
              <w:bottom w:val="nil"/>
              <w:right w:val="nil"/>
            </w:tcBorders>
            <w:shd w:val="clear" w:color="auto" w:fill="auto"/>
            <w:vAlign w:val="bottom"/>
            <w:hideMark/>
          </w:tcPr>
          <w:p w14:paraId="3CB2F071"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37BF045B"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Independent</w:t>
            </w:r>
          </w:p>
        </w:tc>
        <w:tc>
          <w:tcPr>
            <w:tcW w:w="683" w:type="pct"/>
            <w:tcBorders>
              <w:top w:val="nil"/>
              <w:left w:val="nil"/>
              <w:bottom w:val="single" w:sz="4" w:space="0" w:color="auto"/>
              <w:right w:val="single" w:sz="4" w:space="0" w:color="auto"/>
            </w:tcBorders>
            <w:shd w:val="clear" w:color="auto" w:fill="auto"/>
            <w:noWrap/>
            <w:vAlign w:val="bottom"/>
            <w:hideMark/>
          </w:tcPr>
          <w:p w14:paraId="3616E0B7"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26B7952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VCSP</w:t>
            </w:r>
          </w:p>
        </w:tc>
        <w:tc>
          <w:tcPr>
            <w:tcW w:w="801" w:type="pct"/>
            <w:tcBorders>
              <w:top w:val="nil"/>
              <w:left w:val="nil"/>
              <w:bottom w:val="single" w:sz="4" w:space="0" w:color="auto"/>
              <w:right w:val="single" w:sz="4" w:space="0" w:color="auto"/>
            </w:tcBorders>
            <w:shd w:val="clear" w:color="auto" w:fill="auto"/>
            <w:vAlign w:val="center"/>
            <w:hideMark/>
          </w:tcPr>
          <w:p w14:paraId="0C05CCC6"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558D6E24"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r>
      <w:tr w:rsidR="00B31120" w:rsidRPr="00B31120" w14:paraId="430E1668" w14:textId="77777777" w:rsidTr="00B31120">
        <w:trPr>
          <w:trHeight w:val="300"/>
        </w:trPr>
        <w:tc>
          <w:tcPr>
            <w:tcW w:w="269" w:type="pct"/>
            <w:tcBorders>
              <w:top w:val="nil"/>
              <w:left w:val="nil"/>
              <w:bottom w:val="nil"/>
              <w:right w:val="nil"/>
            </w:tcBorders>
            <w:shd w:val="clear" w:color="auto" w:fill="auto"/>
            <w:vAlign w:val="bottom"/>
            <w:hideMark/>
          </w:tcPr>
          <w:p w14:paraId="51EF02E2"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594E70B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Independent</w:t>
            </w:r>
          </w:p>
        </w:tc>
        <w:tc>
          <w:tcPr>
            <w:tcW w:w="683" w:type="pct"/>
            <w:tcBorders>
              <w:top w:val="nil"/>
              <w:left w:val="nil"/>
              <w:bottom w:val="single" w:sz="4" w:space="0" w:color="auto"/>
              <w:right w:val="single" w:sz="4" w:space="0" w:color="auto"/>
            </w:tcBorders>
            <w:shd w:val="clear" w:color="auto" w:fill="auto"/>
            <w:noWrap/>
            <w:vAlign w:val="bottom"/>
            <w:hideMark/>
          </w:tcPr>
          <w:p w14:paraId="3147FE4B"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31F351D9"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VRS</w:t>
            </w:r>
          </w:p>
        </w:tc>
        <w:tc>
          <w:tcPr>
            <w:tcW w:w="801" w:type="pct"/>
            <w:tcBorders>
              <w:top w:val="nil"/>
              <w:left w:val="nil"/>
              <w:bottom w:val="single" w:sz="4" w:space="0" w:color="auto"/>
              <w:right w:val="single" w:sz="4" w:space="0" w:color="auto"/>
            </w:tcBorders>
            <w:shd w:val="clear" w:color="auto" w:fill="auto"/>
            <w:vAlign w:val="center"/>
            <w:hideMark/>
          </w:tcPr>
          <w:p w14:paraId="43123E9D"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2DF8F650"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C</w:t>
            </w:r>
          </w:p>
        </w:tc>
      </w:tr>
      <w:tr w:rsidR="00B31120" w:rsidRPr="00B31120" w14:paraId="3B323BFA" w14:textId="77777777" w:rsidTr="00B31120">
        <w:trPr>
          <w:trHeight w:val="300"/>
        </w:trPr>
        <w:tc>
          <w:tcPr>
            <w:tcW w:w="269" w:type="pct"/>
            <w:tcBorders>
              <w:top w:val="nil"/>
              <w:left w:val="nil"/>
              <w:bottom w:val="nil"/>
              <w:right w:val="nil"/>
            </w:tcBorders>
            <w:shd w:val="clear" w:color="auto" w:fill="auto"/>
            <w:vAlign w:val="center"/>
            <w:hideMark/>
          </w:tcPr>
          <w:p w14:paraId="0E7E683B"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227147B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Independent</w:t>
            </w:r>
          </w:p>
        </w:tc>
        <w:tc>
          <w:tcPr>
            <w:tcW w:w="683" w:type="pct"/>
            <w:tcBorders>
              <w:top w:val="nil"/>
              <w:left w:val="nil"/>
              <w:bottom w:val="single" w:sz="4" w:space="0" w:color="auto"/>
              <w:right w:val="single" w:sz="4" w:space="0" w:color="auto"/>
            </w:tcBorders>
            <w:shd w:val="clear" w:color="auto" w:fill="auto"/>
            <w:noWrap/>
            <w:vAlign w:val="bottom"/>
            <w:hideMark/>
          </w:tcPr>
          <w:p w14:paraId="6EDA399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w:t>
            </w:r>
          </w:p>
        </w:tc>
        <w:tc>
          <w:tcPr>
            <w:tcW w:w="643" w:type="pct"/>
            <w:tcBorders>
              <w:top w:val="nil"/>
              <w:left w:val="nil"/>
              <w:bottom w:val="single" w:sz="4" w:space="0" w:color="auto"/>
              <w:right w:val="single" w:sz="4" w:space="0" w:color="auto"/>
            </w:tcBorders>
            <w:shd w:val="clear" w:color="auto" w:fill="auto"/>
            <w:vAlign w:val="bottom"/>
            <w:hideMark/>
          </w:tcPr>
          <w:p w14:paraId="44E0091B"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VWC</w:t>
            </w:r>
          </w:p>
        </w:tc>
        <w:tc>
          <w:tcPr>
            <w:tcW w:w="801" w:type="pct"/>
            <w:tcBorders>
              <w:top w:val="nil"/>
              <w:left w:val="nil"/>
              <w:bottom w:val="single" w:sz="4" w:space="0" w:color="auto"/>
              <w:right w:val="single" w:sz="4" w:space="0" w:color="auto"/>
            </w:tcBorders>
            <w:shd w:val="clear" w:color="auto" w:fill="auto"/>
            <w:vAlign w:val="center"/>
            <w:hideMark/>
          </w:tcPr>
          <w:p w14:paraId="5901E1A7"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383A99FC"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r>
      <w:tr w:rsidR="00B31120" w:rsidRPr="00B31120" w14:paraId="50F2F3DE" w14:textId="77777777" w:rsidTr="00B31120">
        <w:trPr>
          <w:trHeight w:val="300"/>
        </w:trPr>
        <w:tc>
          <w:tcPr>
            <w:tcW w:w="269" w:type="pct"/>
            <w:tcBorders>
              <w:top w:val="nil"/>
              <w:left w:val="nil"/>
              <w:bottom w:val="nil"/>
              <w:right w:val="nil"/>
            </w:tcBorders>
            <w:shd w:val="clear" w:color="auto" w:fill="auto"/>
            <w:vAlign w:val="center"/>
            <w:hideMark/>
          </w:tcPr>
          <w:p w14:paraId="1133C116"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0983259D"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Natural Resources</w:t>
            </w:r>
          </w:p>
        </w:tc>
        <w:tc>
          <w:tcPr>
            <w:tcW w:w="683" w:type="pct"/>
            <w:tcBorders>
              <w:top w:val="nil"/>
              <w:left w:val="nil"/>
              <w:bottom w:val="single" w:sz="4" w:space="0" w:color="auto"/>
              <w:right w:val="single" w:sz="4" w:space="0" w:color="auto"/>
            </w:tcBorders>
            <w:shd w:val="clear" w:color="auto" w:fill="auto"/>
            <w:noWrap/>
            <w:vAlign w:val="bottom"/>
            <w:hideMark/>
          </w:tcPr>
          <w:p w14:paraId="0746A97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ISO</w:t>
            </w:r>
          </w:p>
        </w:tc>
        <w:tc>
          <w:tcPr>
            <w:tcW w:w="643" w:type="pct"/>
            <w:tcBorders>
              <w:top w:val="nil"/>
              <w:left w:val="nil"/>
              <w:bottom w:val="single" w:sz="4" w:space="0" w:color="auto"/>
              <w:right w:val="single" w:sz="4" w:space="0" w:color="auto"/>
            </w:tcBorders>
            <w:shd w:val="clear" w:color="auto" w:fill="auto"/>
            <w:vAlign w:val="bottom"/>
            <w:hideMark/>
          </w:tcPr>
          <w:p w14:paraId="3CE0F5C1"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DCR</w:t>
            </w:r>
          </w:p>
        </w:tc>
        <w:tc>
          <w:tcPr>
            <w:tcW w:w="801" w:type="pct"/>
            <w:tcBorders>
              <w:top w:val="nil"/>
              <w:left w:val="nil"/>
              <w:bottom w:val="single" w:sz="4" w:space="0" w:color="auto"/>
              <w:right w:val="single" w:sz="4" w:space="0" w:color="auto"/>
            </w:tcBorders>
            <w:shd w:val="clear" w:color="auto" w:fill="auto"/>
            <w:vAlign w:val="center"/>
            <w:hideMark/>
          </w:tcPr>
          <w:p w14:paraId="46F152AF"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32FDE2CF"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034FC1C2" w14:textId="77777777" w:rsidTr="00B31120">
        <w:trPr>
          <w:trHeight w:val="300"/>
        </w:trPr>
        <w:tc>
          <w:tcPr>
            <w:tcW w:w="269" w:type="pct"/>
            <w:tcBorders>
              <w:top w:val="nil"/>
              <w:left w:val="nil"/>
              <w:bottom w:val="nil"/>
              <w:right w:val="nil"/>
            </w:tcBorders>
            <w:shd w:val="clear" w:color="auto" w:fill="auto"/>
            <w:vAlign w:val="bottom"/>
            <w:hideMark/>
          </w:tcPr>
          <w:p w14:paraId="13826F3B"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0DF1ED46"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Natural Resources</w:t>
            </w:r>
          </w:p>
        </w:tc>
        <w:tc>
          <w:tcPr>
            <w:tcW w:w="683" w:type="pct"/>
            <w:tcBorders>
              <w:top w:val="nil"/>
              <w:left w:val="nil"/>
              <w:bottom w:val="single" w:sz="4" w:space="0" w:color="auto"/>
              <w:right w:val="single" w:sz="4" w:space="0" w:color="auto"/>
            </w:tcBorders>
            <w:shd w:val="clear" w:color="auto" w:fill="auto"/>
            <w:noWrap/>
            <w:vAlign w:val="bottom"/>
            <w:hideMark/>
          </w:tcPr>
          <w:p w14:paraId="15284AC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45CA9967"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DEQ</w:t>
            </w:r>
          </w:p>
        </w:tc>
        <w:tc>
          <w:tcPr>
            <w:tcW w:w="801" w:type="pct"/>
            <w:tcBorders>
              <w:top w:val="nil"/>
              <w:left w:val="nil"/>
              <w:bottom w:val="single" w:sz="4" w:space="0" w:color="auto"/>
              <w:right w:val="single" w:sz="4" w:space="0" w:color="auto"/>
            </w:tcBorders>
            <w:shd w:val="clear" w:color="auto" w:fill="auto"/>
            <w:vAlign w:val="center"/>
            <w:hideMark/>
          </w:tcPr>
          <w:p w14:paraId="5C7F1588"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1269E3AB"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774448B3" w14:textId="77777777" w:rsidTr="00B31120">
        <w:trPr>
          <w:trHeight w:val="300"/>
        </w:trPr>
        <w:tc>
          <w:tcPr>
            <w:tcW w:w="269" w:type="pct"/>
            <w:tcBorders>
              <w:top w:val="nil"/>
              <w:left w:val="nil"/>
              <w:bottom w:val="nil"/>
              <w:right w:val="nil"/>
            </w:tcBorders>
            <w:shd w:val="clear" w:color="auto" w:fill="auto"/>
            <w:vAlign w:val="center"/>
            <w:hideMark/>
          </w:tcPr>
          <w:p w14:paraId="25C8F084"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28BFC4E9"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Natural Resources</w:t>
            </w:r>
          </w:p>
        </w:tc>
        <w:tc>
          <w:tcPr>
            <w:tcW w:w="683" w:type="pct"/>
            <w:tcBorders>
              <w:top w:val="nil"/>
              <w:left w:val="nil"/>
              <w:bottom w:val="single" w:sz="4" w:space="0" w:color="auto"/>
              <w:right w:val="single" w:sz="4" w:space="0" w:color="auto"/>
            </w:tcBorders>
            <w:shd w:val="clear" w:color="auto" w:fill="auto"/>
            <w:noWrap/>
            <w:vAlign w:val="bottom"/>
            <w:hideMark/>
          </w:tcPr>
          <w:p w14:paraId="5FF1D7A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ISO</w:t>
            </w:r>
          </w:p>
        </w:tc>
        <w:tc>
          <w:tcPr>
            <w:tcW w:w="643" w:type="pct"/>
            <w:tcBorders>
              <w:top w:val="nil"/>
              <w:left w:val="nil"/>
              <w:bottom w:val="single" w:sz="4" w:space="0" w:color="auto"/>
              <w:right w:val="single" w:sz="4" w:space="0" w:color="auto"/>
            </w:tcBorders>
            <w:shd w:val="clear" w:color="auto" w:fill="auto"/>
            <w:vAlign w:val="bottom"/>
            <w:hideMark/>
          </w:tcPr>
          <w:p w14:paraId="5BEB775D"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DGIF</w:t>
            </w:r>
          </w:p>
        </w:tc>
        <w:tc>
          <w:tcPr>
            <w:tcW w:w="801" w:type="pct"/>
            <w:tcBorders>
              <w:top w:val="nil"/>
              <w:left w:val="nil"/>
              <w:bottom w:val="single" w:sz="4" w:space="0" w:color="auto"/>
              <w:right w:val="single" w:sz="4" w:space="0" w:color="auto"/>
            </w:tcBorders>
            <w:shd w:val="clear" w:color="auto" w:fill="auto"/>
            <w:vAlign w:val="center"/>
            <w:hideMark/>
          </w:tcPr>
          <w:p w14:paraId="6629944F"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C</w:t>
            </w:r>
          </w:p>
        </w:tc>
        <w:tc>
          <w:tcPr>
            <w:tcW w:w="840" w:type="pct"/>
            <w:tcBorders>
              <w:top w:val="nil"/>
              <w:left w:val="nil"/>
              <w:bottom w:val="single" w:sz="4" w:space="0" w:color="auto"/>
              <w:right w:val="single" w:sz="4" w:space="0" w:color="auto"/>
            </w:tcBorders>
            <w:shd w:val="clear" w:color="auto" w:fill="auto"/>
            <w:vAlign w:val="center"/>
            <w:hideMark/>
          </w:tcPr>
          <w:p w14:paraId="642B96C7"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C</w:t>
            </w:r>
          </w:p>
        </w:tc>
      </w:tr>
      <w:tr w:rsidR="00B31120" w:rsidRPr="00B31120" w14:paraId="61AB83C6" w14:textId="77777777" w:rsidTr="00B31120">
        <w:trPr>
          <w:trHeight w:val="300"/>
        </w:trPr>
        <w:tc>
          <w:tcPr>
            <w:tcW w:w="269" w:type="pct"/>
            <w:tcBorders>
              <w:top w:val="nil"/>
              <w:left w:val="nil"/>
              <w:bottom w:val="nil"/>
              <w:right w:val="nil"/>
            </w:tcBorders>
            <w:shd w:val="clear" w:color="auto" w:fill="auto"/>
            <w:vAlign w:val="bottom"/>
            <w:hideMark/>
          </w:tcPr>
          <w:p w14:paraId="11A5F743"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270B7EF6"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Natural Resources</w:t>
            </w:r>
          </w:p>
        </w:tc>
        <w:tc>
          <w:tcPr>
            <w:tcW w:w="683" w:type="pct"/>
            <w:tcBorders>
              <w:top w:val="nil"/>
              <w:left w:val="nil"/>
              <w:bottom w:val="single" w:sz="4" w:space="0" w:color="auto"/>
              <w:right w:val="single" w:sz="4" w:space="0" w:color="auto"/>
            </w:tcBorders>
            <w:shd w:val="clear" w:color="auto" w:fill="auto"/>
            <w:noWrap/>
            <w:vAlign w:val="bottom"/>
            <w:hideMark/>
          </w:tcPr>
          <w:p w14:paraId="7F1270FD"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0185A103"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DHR</w:t>
            </w:r>
          </w:p>
        </w:tc>
        <w:tc>
          <w:tcPr>
            <w:tcW w:w="801" w:type="pct"/>
            <w:tcBorders>
              <w:top w:val="nil"/>
              <w:left w:val="nil"/>
              <w:bottom w:val="single" w:sz="4" w:space="0" w:color="auto"/>
              <w:right w:val="single" w:sz="4" w:space="0" w:color="auto"/>
            </w:tcBorders>
            <w:shd w:val="clear" w:color="auto" w:fill="auto"/>
            <w:vAlign w:val="center"/>
            <w:hideMark/>
          </w:tcPr>
          <w:p w14:paraId="3DCA2E40"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c>
          <w:tcPr>
            <w:tcW w:w="840" w:type="pct"/>
            <w:tcBorders>
              <w:top w:val="nil"/>
              <w:left w:val="nil"/>
              <w:bottom w:val="single" w:sz="4" w:space="0" w:color="auto"/>
              <w:right w:val="single" w:sz="4" w:space="0" w:color="auto"/>
            </w:tcBorders>
            <w:shd w:val="clear" w:color="auto" w:fill="auto"/>
            <w:vAlign w:val="center"/>
            <w:hideMark/>
          </w:tcPr>
          <w:p w14:paraId="105D2D9C"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6654D1B1" w14:textId="77777777" w:rsidTr="00B31120">
        <w:trPr>
          <w:trHeight w:val="300"/>
        </w:trPr>
        <w:tc>
          <w:tcPr>
            <w:tcW w:w="269" w:type="pct"/>
            <w:tcBorders>
              <w:top w:val="nil"/>
              <w:left w:val="nil"/>
              <w:bottom w:val="nil"/>
              <w:right w:val="nil"/>
            </w:tcBorders>
            <w:shd w:val="clear" w:color="auto" w:fill="auto"/>
            <w:vAlign w:val="center"/>
            <w:hideMark/>
          </w:tcPr>
          <w:p w14:paraId="0BEB356C"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596D38B0"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Natural Resources</w:t>
            </w:r>
          </w:p>
        </w:tc>
        <w:tc>
          <w:tcPr>
            <w:tcW w:w="683" w:type="pct"/>
            <w:tcBorders>
              <w:top w:val="nil"/>
              <w:left w:val="nil"/>
              <w:bottom w:val="single" w:sz="4" w:space="0" w:color="auto"/>
              <w:right w:val="single" w:sz="4" w:space="0" w:color="auto"/>
            </w:tcBorders>
            <w:shd w:val="clear" w:color="auto" w:fill="auto"/>
            <w:noWrap/>
            <w:vAlign w:val="bottom"/>
            <w:hideMark/>
          </w:tcPr>
          <w:p w14:paraId="4E24AA9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w:t>
            </w:r>
          </w:p>
        </w:tc>
        <w:tc>
          <w:tcPr>
            <w:tcW w:w="643" w:type="pct"/>
            <w:tcBorders>
              <w:top w:val="nil"/>
              <w:left w:val="nil"/>
              <w:bottom w:val="single" w:sz="4" w:space="0" w:color="auto"/>
              <w:right w:val="single" w:sz="4" w:space="0" w:color="auto"/>
            </w:tcBorders>
            <w:shd w:val="clear" w:color="auto" w:fill="auto"/>
            <w:vAlign w:val="bottom"/>
            <w:hideMark/>
          </w:tcPr>
          <w:p w14:paraId="6FB0C628"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MRC</w:t>
            </w:r>
          </w:p>
        </w:tc>
        <w:tc>
          <w:tcPr>
            <w:tcW w:w="801" w:type="pct"/>
            <w:tcBorders>
              <w:top w:val="nil"/>
              <w:left w:val="nil"/>
              <w:bottom w:val="single" w:sz="4" w:space="0" w:color="auto"/>
              <w:right w:val="single" w:sz="4" w:space="0" w:color="auto"/>
            </w:tcBorders>
            <w:shd w:val="clear" w:color="auto" w:fill="auto"/>
            <w:vAlign w:val="center"/>
            <w:hideMark/>
          </w:tcPr>
          <w:p w14:paraId="792CDA5F"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48C27023"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39F20403" w14:textId="77777777" w:rsidTr="00B31120">
        <w:trPr>
          <w:trHeight w:val="300"/>
        </w:trPr>
        <w:tc>
          <w:tcPr>
            <w:tcW w:w="269" w:type="pct"/>
            <w:tcBorders>
              <w:top w:val="nil"/>
              <w:left w:val="nil"/>
              <w:bottom w:val="nil"/>
              <w:right w:val="nil"/>
            </w:tcBorders>
            <w:shd w:val="clear" w:color="auto" w:fill="auto"/>
            <w:vAlign w:val="bottom"/>
            <w:hideMark/>
          </w:tcPr>
          <w:p w14:paraId="5EFD717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3BF75107"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Natural Resources</w:t>
            </w:r>
          </w:p>
        </w:tc>
        <w:tc>
          <w:tcPr>
            <w:tcW w:w="683" w:type="pct"/>
            <w:tcBorders>
              <w:top w:val="nil"/>
              <w:left w:val="nil"/>
              <w:bottom w:val="single" w:sz="4" w:space="0" w:color="auto"/>
              <w:right w:val="single" w:sz="4" w:space="0" w:color="auto"/>
            </w:tcBorders>
            <w:shd w:val="clear" w:color="auto" w:fill="auto"/>
            <w:noWrap/>
            <w:vAlign w:val="bottom"/>
            <w:hideMark/>
          </w:tcPr>
          <w:p w14:paraId="19EC4F1D"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19A3CFA6"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VMNH</w:t>
            </w:r>
          </w:p>
        </w:tc>
        <w:tc>
          <w:tcPr>
            <w:tcW w:w="801" w:type="pct"/>
            <w:tcBorders>
              <w:top w:val="nil"/>
              <w:left w:val="nil"/>
              <w:bottom w:val="single" w:sz="4" w:space="0" w:color="auto"/>
              <w:right w:val="single" w:sz="4" w:space="0" w:color="auto"/>
            </w:tcBorders>
            <w:shd w:val="clear" w:color="auto" w:fill="auto"/>
            <w:vAlign w:val="center"/>
            <w:hideMark/>
          </w:tcPr>
          <w:p w14:paraId="3340DBAD"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5A383910"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08F5AFAE" w14:textId="77777777" w:rsidTr="00B31120">
        <w:trPr>
          <w:trHeight w:val="300"/>
        </w:trPr>
        <w:tc>
          <w:tcPr>
            <w:tcW w:w="269" w:type="pct"/>
            <w:tcBorders>
              <w:top w:val="nil"/>
              <w:left w:val="nil"/>
              <w:bottom w:val="nil"/>
              <w:right w:val="nil"/>
            </w:tcBorders>
            <w:shd w:val="clear" w:color="auto" w:fill="auto"/>
            <w:vAlign w:val="bottom"/>
            <w:hideMark/>
          </w:tcPr>
          <w:p w14:paraId="1490C1D5"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1068BA96"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Public Safety</w:t>
            </w:r>
          </w:p>
        </w:tc>
        <w:tc>
          <w:tcPr>
            <w:tcW w:w="683" w:type="pct"/>
            <w:tcBorders>
              <w:top w:val="nil"/>
              <w:left w:val="nil"/>
              <w:bottom w:val="single" w:sz="4" w:space="0" w:color="auto"/>
              <w:right w:val="single" w:sz="4" w:space="0" w:color="auto"/>
            </w:tcBorders>
            <w:shd w:val="clear" w:color="auto" w:fill="auto"/>
            <w:noWrap/>
            <w:vAlign w:val="bottom"/>
            <w:hideMark/>
          </w:tcPr>
          <w:p w14:paraId="1CCAB46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2778B2A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ABC</w:t>
            </w:r>
          </w:p>
        </w:tc>
        <w:tc>
          <w:tcPr>
            <w:tcW w:w="801" w:type="pct"/>
            <w:tcBorders>
              <w:top w:val="nil"/>
              <w:left w:val="nil"/>
              <w:bottom w:val="single" w:sz="4" w:space="0" w:color="auto"/>
              <w:right w:val="single" w:sz="4" w:space="0" w:color="auto"/>
            </w:tcBorders>
            <w:shd w:val="clear" w:color="auto" w:fill="auto"/>
            <w:vAlign w:val="center"/>
            <w:hideMark/>
          </w:tcPr>
          <w:p w14:paraId="73564157"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c>
          <w:tcPr>
            <w:tcW w:w="840" w:type="pct"/>
            <w:tcBorders>
              <w:top w:val="nil"/>
              <w:left w:val="nil"/>
              <w:bottom w:val="single" w:sz="4" w:space="0" w:color="auto"/>
              <w:right w:val="single" w:sz="4" w:space="0" w:color="auto"/>
            </w:tcBorders>
            <w:shd w:val="clear" w:color="auto" w:fill="auto"/>
            <w:vAlign w:val="center"/>
            <w:hideMark/>
          </w:tcPr>
          <w:p w14:paraId="4F158E02"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r>
      <w:tr w:rsidR="00B31120" w:rsidRPr="00B31120" w14:paraId="34FFF513" w14:textId="77777777" w:rsidTr="00B31120">
        <w:trPr>
          <w:trHeight w:val="300"/>
        </w:trPr>
        <w:tc>
          <w:tcPr>
            <w:tcW w:w="269" w:type="pct"/>
            <w:tcBorders>
              <w:top w:val="nil"/>
              <w:left w:val="nil"/>
              <w:bottom w:val="nil"/>
              <w:right w:val="nil"/>
            </w:tcBorders>
            <w:shd w:val="clear" w:color="auto" w:fill="auto"/>
            <w:vAlign w:val="bottom"/>
            <w:hideMark/>
          </w:tcPr>
          <w:p w14:paraId="54616E97"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38DC8287"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Public Safety</w:t>
            </w:r>
          </w:p>
        </w:tc>
        <w:tc>
          <w:tcPr>
            <w:tcW w:w="683" w:type="pct"/>
            <w:tcBorders>
              <w:top w:val="nil"/>
              <w:left w:val="nil"/>
              <w:bottom w:val="single" w:sz="4" w:space="0" w:color="auto"/>
              <w:right w:val="single" w:sz="4" w:space="0" w:color="auto"/>
            </w:tcBorders>
            <w:shd w:val="clear" w:color="auto" w:fill="auto"/>
            <w:noWrap/>
            <w:vAlign w:val="bottom"/>
            <w:hideMark/>
          </w:tcPr>
          <w:p w14:paraId="7E884F8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4E60E49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CASC</w:t>
            </w:r>
          </w:p>
        </w:tc>
        <w:tc>
          <w:tcPr>
            <w:tcW w:w="801" w:type="pct"/>
            <w:tcBorders>
              <w:top w:val="nil"/>
              <w:left w:val="nil"/>
              <w:bottom w:val="single" w:sz="4" w:space="0" w:color="auto"/>
              <w:right w:val="single" w:sz="4" w:space="0" w:color="auto"/>
            </w:tcBorders>
            <w:shd w:val="clear" w:color="auto" w:fill="auto"/>
            <w:vAlign w:val="center"/>
            <w:hideMark/>
          </w:tcPr>
          <w:p w14:paraId="6C879F6A"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29FB9E98"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2398F956" w14:textId="77777777" w:rsidTr="00B31120">
        <w:trPr>
          <w:trHeight w:val="300"/>
        </w:trPr>
        <w:tc>
          <w:tcPr>
            <w:tcW w:w="269" w:type="pct"/>
            <w:tcBorders>
              <w:top w:val="nil"/>
              <w:left w:val="nil"/>
              <w:bottom w:val="nil"/>
              <w:right w:val="nil"/>
            </w:tcBorders>
            <w:shd w:val="clear" w:color="auto" w:fill="auto"/>
            <w:vAlign w:val="bottom"/>
            <w:hideMark/>
          </w:tcPr>
          <w:p w14:paraId="5A69BB28"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253DE4E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Public Safety</w:t>
            </w:r>
          </w:p>
        </w:tc>
        <w:tc>
          <w:tcPr>
            <w:tcW w:w="683" w:type="pct"/>
            <w:tcBorders>
              <w:top w:val="nil"/>
              <w:left w:val="nil"/>
              <w:bottom w:val="single" w:sz="4" w:space="0" w:color="auto"/>
              <w:right w:val="single" w:sz="4" w:space="0" w:color="auto"/>
            </w:tcBorders>
            <w:shd w:val="clear" w:color="auto" w:fill="auto"/>
            <w:noWrap/>
            <w:vAlign w:val="bottom"/>
            <w:hideMark/>
          </w:tcPr>
          <w:p w14:paraId="5282E63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02C7326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DCJS</w:t>
            </w:r>
          </w:p>
        </w:tc>
        <w:tc>
          <w:tcPr>
            <w:tcW w:w="801" w:type="pct"/>
            <w:tcBorders>
              <w:top w:val="nil"/>
              <w:left w:val="nil"/>
              <w:bottom w:val="single" w:sz="4" w:space="0" w:color="auto"/>
              <w:right w:val="single" w:sz="4" w:space="0" w:color="auto"/>
            </w:tcBorders>
            <w:shd w:val="clear" w:color="auto" w:fill="auto"/>
            <w:vAlign w:val="center"/>
            <w:hideMark/>
          </w:tcPr>
          <w:p w14:paraId="44EC5C18"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c>
          <w:tcPr>
            <w:tcW w:w="840" w:type="pct"/>
            <w:tcBorders>
              <w:top w:val="nil"/>
              <w:left w:val="nil"/>
              <w:bottom w:val="single" w:sz="4" w:space="0" w:color="auto"/>
              <w:right w:val="single" w:sz="4" w:space="0" w:color="auto"/>
            </w:tcBorders>
            <w:shd w:val="clear" w:color="auto" w:fill="auto"/>
            <w:vAlign w:val="center"/>
            <w:hideMark/>
          </w:tcPr>
          <w:p w14:paraId="3A95E5AD"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r>
      <w:tr w:rsidR="00B31120" w:rsidRPr="00B31120" w14:paraId="10535827" w14:textId="77777777" w:rsidTr="00B31120">
        <w:trPr>
          <w:trHeight w:val="300"/>
        </w:trPr>
        <w:tc>
          <w:tcPr>
            <w:tcW w:w="269" w:type="pct"/>
            <w:tcBorders>
              <w:top w:val="nil"/>
              <w:left w:val="nil"/>
              <w:bottom w:val="nil"/>
              <w:right w:val="nil"/>
            </w:tcBorders>
            <w:shd w:val="clear" w:color="auto" w:fill="auto"/>
            <w:vAlign w:val="bottom"/>
            <w:hideMark/>
          </w:tcPr>
          <w:p w14:paraId="3EA229C4"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6E290FA7"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Public Safety</w:t>
            </w:r>
          </w:p>
        </w:tc>
        <w:tc>
          <w:tcPr>
            <w:tcW w:w="683" w:type="pct"/>
            <w:tcBorders>
              <w:top w:val="nil"/>
              <w:left w:val="nil"/>
              <w:bottom w:val="single" w:sz="4" w:space="0" w:color="auto"/>
              <w:right w:val="single" w:sz="4" w:space="0" w:color="auto"/>
            </w:tcBorders>
            <w:shd w:val="clear" w:color="auto" w:fill="auto"/>
            <w:noWrap/>
            <w:vAlign w:val="bottom"/>
            <w:hideMark/>
          </w:tcPr>
          <w:p w14:paraId="384A7680"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1BB0D781"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DFP</w:t>
            </w:r>
          </w:p>
        </w:tc>
        <w:tc>
          <w:tcPr>
            <w:tcW w:w="801" w:type="pct"/>
            <w:tcBorders>
              <w:top w:val="nil"/>
              <w:left w:val="nil"/>
              <w:bottom w:val="single" w:sz="4" w:space="0" w:color="auto"/>
              <w:right w:val="single" w:sz="4" w:space="0" w:color="auto"/>
            </w:tcBorders>
            <w:shd w:val="clear" w:color="auto" w:fill="auto"/>
            <w:vAlign w:val="center"/>
            <w:hideMark/>
          </w:tcPr>
          <w:p w14:paraId="7544AB26"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c>
          <w:tcPr>
            <w:tcW w:w="840" w:type="pct"/>
            <w:tcBorders>
              <w:top w:val="nil"/>
              <w:left w:val="nil"/>
              <w:bottom w:val="single" w:sz="4" w:space="0" w:color="auto"/>
              <w:right w:val="single" w:sz="4" w:space="0" w:color="auto"/>
            </w:tcBorders>
            <w:shd w:val="clear" w:color="auto" w:fill="auto"/>
            <w:vAlign w:val="center"/>
            <w:hideMark/>
          </w:tcPr>
          <w:p w14:paraId="6666C9A9"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r>
      <w:tr w:rsidR="00B31120" w:rsidRPr="00B31120" w14:paraId="1E97A49C" w14:textId="77777777" w:rsidTr="00B31120">
        <w:trPr>
          <w:trHeight w:val="300"/>
        </w:trPr>
        <w:tc>
          <w:tcPr>
            <w:tcW w:w="269" w:type="pct"/>
            <w:tcBorders>
              <w:top w:val="nil"/>
              <w:left w:val="nil"/>
              <w:bottom w:val="nil"/>
              <w:right w:val="nil"/>
            </w:tcBorders>
            <w:shd w:val="clear" w:color="auto" w:fill="auto"/>
            <w:vAlign w:val="bottom"/>
            <w:hideMark/>
          </w:tcPr>
          <w:p w14:paraId="68697807"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312E96A9"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Public Safety</w:t>
            </w:r>
          </w:p>
        </w:tc>
        <w:tc>
          <w:tcPr>
            <w:tcW w:w="683" w:type="pct"/>
            <w:tcBorders>
              <w:top w:val="nil"/>
              <w:left w:val="nil"/>
              <w:bottom w:val="single" w:sz="4" w:space="0" w:color="auto"/>
              <w:right w:val="single" w:sz="4" w:space="0" w:color="auto"/>
            </w:tcBorders>
            <w:shd w:val="clear" w:color="auto" w:fill="auto"/>
            <w:noWrap/>
            <w:vAlign w:val="bottom"/>
            <w:hideMark/>
          </w:tcPr>
          <w:p w14:paraId="63569D5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0CE02666"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DFS</w:t>
            </w:r>
          </w:p>
        </w:tc>
        <w:tc>
          <w:tcPr>
            <w:tcW w:w="801" w:type="pct"/>
            <w:tcBorders>
              <w:top w:val="nil"/>
              <w:left w:val="nil"/>
              <w:bottom w:val="single" w:sz="4" w:space="0" w:color="auto"/>
              <w:right w:val="single" w:sz="4" w:space="0" w:color="auto"/>
            </w:tcBorders>
            <w:shd w:val="clear" w:color="auto" w:fill="auto"/>
            <w:vAlign w:val="center"/>
            <w:hideMark/>
          </w:tcPr>
          <w:p w14:paraId="743F9B6A"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473A31DC"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64766745" w14:textId="77777777" w:rsidTr="00B31120">
        <w:trPr>
          <w:trHeight w:val="300"/>
        </w:trPr>
        <w:tc>
          <w:tcPr>
            <w:tcW w:w="269" w:type="pct"/>
            <w:tcBorders>
              <w:top w:val="nil"/>
              <w:left w:val="nil"/>
              <w:bottom w:val="nil"/>
              <w:right w:val="nil"/>
            </w:tcBorders>
            <w:shd w:val="clear" w:color="auto" w:fill="auto"/>
            <w:vAlign w:val="center"/>
            <w:hideMark/>
          </w:tcPr>
          <w:p w14:paraId="3A92A66D"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27076E7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Public Safety</w:t>
            </w:r>
          </w:p>
        </w:tc>
        <w:tc>
          <w:tcPr>
            <w:tcW w:w="683" w:type="pct"/>
            <w:tcBorders>
              <w:top w:val="nil"/>
              <w:left w:val="nil"/>
              <w:bottom w:val="single" w:sz="4" w:space="0" w:color="auto"/>
              <w:right w:val="single" w:sz="4" w:space="0" w:color="auto"/>
            </w:tcBorders>
            <w:shd w:val="clear" w:color="auto" w:fill="auto"/>
            <w:noWrap/>
            <w:vAlign w:val="bottom"/>
            <w:hideMark/>
          </w:tcPr>
          <w:p w14:paraId="63251D39"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ISO</w:t>
            </w:r>
          </w:p>
        </w:tc>
        <w:tc>
          <w:tcPr>
            <w:tcW w:w="643" w:type="pct"/>
            <w:tcBorders>
              <w:top w:val="nil"/>
              <w:left w:val="nil"/>
              <w:bottom w:val="single" w:sz="4" w:space="0" w:color="auto"/>
              <w:right w:val="single" w:sz="4" w:space="0" w:color="auto"/>
            </w:tcBorders>
            <w:shd w:val="clear" w:color="auto" w:fill="auto"/>
            <w:vAlign w:val="bottom"/>
            <w:hideMark/>
          </w:tcPr>
          <w:p w14:paraId="21DEFFAE"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DJJ</w:t>
            </w:r>
          </w:p>
        </w:tc>
        <w:tc>
          <w:tcPr>
            <w:tcW w:w="801" w:type="pct"/>
            <w:tcBorders>
              <w:top w:val="nil"/>
              <w:left w:val="nil"/>
              <w:bottom w:val="single" w:sz="4" w:space="0" w:color="auto"/>
              <w:right w:val="single" w:sz="4" w:space="0" w:color="auto"/>
            </w:tcBorders>
            <w:shd w:val="clear" w:color="auto" w:fill="auto"/>
            <w:vAlign w:val="center"/>
            <w:hideMark/>
          </w:tcPr>
          <w:p w14:paraId="21A51069"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5473404B"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3582711C" w14:textId="77777777" w:rsidTr="00B31120">
        <w:trPr>
          <w:trHeight w:val="300"/>
        </w:trPr>
        <w:tc>
          <w:tcPr>
            <w:tcW w:w="269" w:type="pct"/>
            <w:tcBorders>
              <w:top w:val="nil"/>
              <w:left w:val="nil"/>
              <w:bottom w:val="nil"/>
              <w:right w:val="nil"/>
            </w:tcBorders>
            <w:shd w:val="clear" w:color="auto" w:fill="auto"/>
            <w:vAlign w:val="bottom"/>
            <w:hideMark/>
          </w:tcPr>
          <w:p w14:paraId="2D649CBB"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07DD8389"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Public Safety</w:t>
            </w:r>
          </w:p>
        </w:tc>
        <w:tc>
          <w:tcPr>
            <w:tcW w:w="683" w:type="pct"/>
            <w:tcBorders>
              <w:top w:val="nil"/>
              <w:left w:val="nil"/>
              <w:bottom w:val="single" w:sz="4" w:space="0" w:color="auto"/>
              <w:right w:val="single" w:sz="4" w:space="0" w:color="auto"/>
            </w:tcBorders>
            <w:shd w:val="clear" w:color="auto" w:fill="auto"/>
            <w:noWrap/>
            <w:vAlign w:val="bottom"/>
            <w:hideMark/>
          </w:tcPr>
          <w:p w14:paraId="580BCAD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5770F95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DOC</w:t>
            </w:r>
          </w:p>
        </w:tc>
        <w:tc>
          <w:tcPr>
            <w:tcW w:w="801" w:type="pct"/>
            <w:tcBorders>
              <w:top w:val="nil"/>
              <w:left w:val="nil"/>
              <w:bottom w:val="single" w:sz="4" w:space="0" w:color="auto"/>
              <w:right w:val="single" w:sz="4" w:space="0" w:color="auto"/>
            </w:tcBorders>
            <w:shd w:val="clear" w:color="auto" w:fill="auto"/>
            <w:vAlign w:val="center"/>
            <w:hideMark/>
          </w:tcPr>
          <w:p w14:paraId="02BF039B"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c>
          <w:tcPr>
            <w:tcW w:w="840" w:type="pct"/>
            <w:tcBorders>
              <w:top w:val="nil"/>
              <w:left w:val="nil"/>
              <w:bottom w:val="single" w:sz="4" w:space="0" w:color="auto"/>
              <w:right w:val="single" w:sz="4" w:space="0" w:color="auto"/>
            </w:tcBorders>
            <w:shd w:val="clear" w:color="auto" w:fill="auto"/>
            <w:vAlign w:val="center"/>
            <w:hideMark/>
          </w:tcPr>
          <w:p w14:paraId="74F9FD97"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1BDB59D4" w14:textId="77777777" w:rsidTr="00B31120">
        <w:trPr>
          <w:trHeight w:val="300"/>
        </w:trPr>
        <w:tc>
          <w:tcPr>
            <w:tcW w:w="269" w:type="pct"/>
            <w:tcBorders>
              <w:top w:val="nil"/>
              <w:left w:val="nil"/>
              <w:bottom w:val="nil"/>
              <w:right w:val="nil"/>
            </w:tcBorders>
            <w:shd w:val="clear" w:color="auto" w:fill="auto"/>
            <w:vAlign w:val="bottom"/>
            <w:hideMark/>
          </w:tcPr>
          <w:p w14:paraId="683A151D"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1748E07D"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Public Safety</w:t>
            </w:r>
          </w:p>
        </w:tc>
        <w:tc>
          <w:tcPr>
            <w:tcW w:w="683" w:type="pct"/>
            <w:tcBorders>
              <w:top w:val="nil"/>
              <w:left w:val="nil"/>
              <w:bottom w:val="single" w:sz="4" w:space="0" w:color="auto"/>
              <w:right w:val="single" w:sz="4" w:space="0" w:color="auto"/>
            </w:tcBorders>
            <w:shd w:val="clear" w:color="auto" w:fill="auto"/>
            <w:noWrap/>
            <w:vAlign w:val="bottom"/>
            <w:hideMark/>
          </w:tcPr>
          <w:p w14:paraId="61D8E4E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58D2C61D"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VDEM</w:t>
            </w:r>
          </w:p>
        </w:tc>
        <w:tc>
          <w:tcPr>
            <w:tcW w:w="801" w:type="pct"/>
            <w:tcBorders>
              <w:top w:val="nil"/>
              <w:left w:val="nil"/>
              <w:bottom w:val="single" w:sz="4" w:space="0" w:color="auto"/>
              <w:right w:val="single" w:sz="4" w:space="0" w:color="auto"/>
            </w:tcBorders>
            <w:shd w:val="clear" w:color="auto" w:fill="auto"/>
            <w:vAlign w:val="center"/>
            <w:hideMark/>
          </w:tcPr>
          <w:p w14:paraId="7029E181"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c>
          <w:tcPr>
            <w:tcW w:w="840" w:type="pct"/>
            <w:tcBorders>
              <w:top w:val="nil"/>
              <w:left w:val="nil"/>
              <w:bottom w:val="single" w:sz="4" w:space="0" w:color="auto"/>
              <w:right w:val="single" w:sz="4" w:space="0" w:color="auto"/>
            </w:tcBorders>
            <w:shd w:val="clear" w:color="auto" w:fill="auto"/>
            <w:vAlign w:val="center"/>
            <w:hideMark/>
          </w:tcPr>
          <w:p w14:paraId="11BD07A7"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r>
      <w:tr w:rsidR="00B31120" w:rsidRPr="00B31120" w14:paraId="3D79AA87" w14:textId="77777777" w:rsidTr="00B31120">
        <w:trPr>
          <w:trHeight w:val="300"/>
        </w:trPr>
        <w:tc>
          <w:tcPr>
            <w:tcW w:w="269" w:type="pct"/>
            <w:tcBorders>
              <w:top w:val="nil"/>
              <w:left w:val="nil"/>
              <w:bottom w:val="nil"/>
              <w:right w:val="nil"/>
            </w:tcBorders>
            <w:shd w:val="clear" w:color="auto" w:fill="auto"/>
            <w:vAlign w:val="bottom"/>
            <w:hideMark/>
          </w:tcPr>
          <w:p w14:paraId="4911CA6B"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4A8F51B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Public Safety</w:t>
            </w:r>
          </w:p>
        </w:tc>
        <w:tc>
          <w:tcPr>
            <w:tcW w:w="683" w:type="pct"/>
            <w:tcBorders>
              <w:top w:val="nil"/>
              <w:left w:val="nil"/>
              <w:bottom w:val="single" w:sz="4" w:space="0" w:color="auto"/>
              <w:right w:val="single" w:sz="4" w:space="0" w:color="auto"/>
            </w:tcBorders>
            <w:shd w:val="clear" w:color="auto" w:fill="auto"/>
            <w:noWrap/>
            <w:vAlign w:val="bottom"/>
            <w:hideMark/>
          </w:tcPr>
          <w:p w14:paraId="773FF549"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6BB1D6BF"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VSP</w:t>
            </w:r>
          </w:p>
        </w:tc>
        <w:tc>
          <w:tcPr>
            <w:tcW w:w="801" w:type="pct"/>
            <w:tcBorders>
              <w:top w:val="nil"/>
              <w:left w:val="nil"/>
              <w:bottom w:val="single" w:sz="4" w:space="0" w:color="auto"/>
              <w:right w:val="single" w:sz="4" w:space="0" w:color="auto"/>
            </w:tcBorders>
            <w:shd w:val="clear" w:color="auto" w:fill="auto"/>
            <w:vAlign w:val="center"/>
            <w:hideMark/>
          </w:tcPr>
          <w:p w14:paraId="27F2FCFB"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D</w:t>
            </w:r>
          </w:p>
        </w:tc>
        <w:tc>
          <w:tcPr>
            <w:tcW w:w="840" w:type="pct"/>
            <w:tcBorders>
              <w:top w:val="nil"/>
              <w:left w:val="nil"/>
              <w:bottom w:val="single" w:sz="4" w:space="0" w:color="auto"/>
              <w:right w:val="single" w:sz="4" w:space="0" w:color="auto"/>
            </w:tcBorders>
            <w:shd w:val="clear" w:color="auto" w:fill="auto"/>
            <w:vAlign w:val="center"/>
            <w:hideMark/>
          </w:tcPr>
          <w:p w14:paraId="2FDFF2FD"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C</w:t>
            </w:r>
          </w:p>
        </w:tc>
      </w:tr>
      <w:tr w:rsidR="00B31120" w:rsidRPr="00B31120" w14:paraId="7306D2FB" w14:textId="77777777" w:rsidTr="00B31120">
        <w:trPr>
          <w:trHeight w:val="300"/>
        </w:trPr>
        <w:tc>
          <w:tcPr>
            <w:tcW w:w="269" w:type="pct"/>
            <w:tcBorders>
              <w:top w:val="nil"/>
              <w:left w:val="nil"/>
              <w:bottom w:val="nil"/>
              <w:right w:val="nil"/>
            </w:tcBorders>
            <w:shd w:val="clear" w:color="auto" w:fill="auto"/>
            <w:vAlign w:val="bottom"/>
            <w:hideMark/>
          </w:tcPr>
          <w:p w14:paraId="7F8FD5FB"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4C10EF53"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Transportation</w:t>
            </w:r>
          </w:p>
        </w:tc>
        <w:tc>
          <w:tcPr>
            <w:tcW w:w="683" w:type="pct"/>
            <w:tcBorders>
              <w:top w:val="nil"/>
              <w:left w:val="nil"/>
              <w:bottom w:val="single" w:sz="4" w:space="0" w:color="auto"/>
              <w:right w:val="single" w:sz="4" w:space="0" w:color="auto"/>
            </w:tcBorders>
            <w:shd w:val="clear" w:color="auto" w:fill="auto"/>
            <w:noWrap/>
            <w:vAlign w:val="bottom"/>
            <w:hideMark/>
          </w:tcPr>
          <w:p w14:paraId="40BA27A2"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408F3B9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DMV</w:t>
            </w:r>
          </w:p>
        </w:tc>
        <w:tc>
          <w:tcPr>
            <w:tcW w:w="801" w:type="pct"/>
            <w:tcBorders>
              <w:top w:val="nil"/>
              <w:left w:val="nil"/>
              <w:bottom w:val="single" w:sz="4" w:space="0" w:color="auto"/>
              <w:right w:val="single" w:sz="4" w:space="0" w:color="auto"/>
            </w:tcBorders>
            <w:shd w:val="clear" w:color="auto" w:fill="auto"/>
            <w:vAlign w:val="center"/>
            <w:hideMark/>
          </w:tcPr>
          <w:p w14:paraId="75E7A276"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c>
          <w:tcPr>
            <w:tcW w:w="840" w:type="pct"/>
            <w:tcBorders>
              <w:top w:val="nil"/>
              <w:left w:val="nil"/>
              <w:bottom w:val="single" w:sz="4" w:space="0" w:color="auto"/>
              <w:right w:val="single" w:sz="4" w:space="0" w:color="auto"/>
            </w:tcBorders>
            <w:shd w:val="clear" w:color="auto" w:fill="auto"/>
            <w:vAlign w:val="center"/>
            <w:hideMark/>
          </w:tcPr>
          <w:p w14:paraId="525070DE"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r>
      <w:tr w:rsidR="00B31120" w:rsidRPr="00B31120" w14:paraId="5CAE4C3C" w14:textId="77777777" w:rsidTr="00B31120">
        <w:trPr>
          <w:trHeight w:val="300"/>
        </w:trPr>
        <w:tc>
          <w:tcPr>
            <w:tcW w:w="269" w:type="pct"/>
            <w:tcBorders>
              <w:top w:val="nil"/>
              <w:left w:val="nil"/>
              <w:bottom w:val="nil"/>
              <w:right w:val="nil"/>
            </w:tcBorders>
            <w:shd w:val="clear" w:color="auto" w:fill="auto"/>
            <w:vAlign w:val="bottom"/>
            <w:hideMark/>
          </w:tcPr>
          <w:p w14:paraId="67D8DB52"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0562C776"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Transportation</w:t>
            </w:r>
          </w:p>
        </w:tc>
        <w:tc>
          <w:tcPr>
            <w:tcW w:w="683" w:type="pct"/>
            <w:tcBorders>
              <w:top w:val="nil"/>
              <w:left w:val="nil"/>
              <w:bottom w:val="single" w:sz="4" w:space="0" w:color="auto"/>
              <w:right w:val="single" w:sz="4" w:space="0" w:color="auto"/>
            </w:tcBorders>
            <w:shd w:val="clear" w:color="auto" w:fill="auto"/>
            <w:noWrap/>
            <w:vAlign w:val="bottom"/>
            <w:hideMark/>
          </w:tcPr>
          <w:p w14:paraId="398AB83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19C9A7E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DOAV</w:t>
            </w:r>
          </w:p>
        </w:tc>
        <w:tc>
          <w:tcPr>
            <w:tcW w:w="801" w:type="pct"/>
            <w:tcBorders>
              <w:top w:val="nil"/>
              <w:left w:val="nil"/>
              <w:bottom w:val="single" w:sz="4" w:space="0" w:color="auto"/>
              <w:right w:val="single" w:sz="4" w:space="0" w:color="auto"/>
            </w:tcBorders>
            <w:shd w:val="clear" w:color="auto" w:fill="auto"/>
            <w:vAlign w:val="center"/>
            <w:hideMark/>
          </w:tcPr>
          <w:p w14:paraId="3E64380C"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25C6F4E9"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24F4D9FF" w14:textId="77777777" w:rsidTr="00B31120">
        <w:trPr>
          <w:trHeight w:val="300"/>
        </w:trPr>
        <w:tc>
          <w:tcPr>
            <w:tcW w:w="269" w:type="pct"/>
            <w:tcBorders>
              <w:top w:val="nil"/>
              <w:left w:val="nil"/>
              <w:bottom w:val="nil"/>
              <w:right w:val="nil"/>
            </w:tcBorders>
            <w:shd w:val="clear" w:color="auto" w:fill="auto"/>
            <w:vAlign w:val="center"/>
            <w:hideMark/>
          </w:tcPr>
          <w:p w14:paraId="25AF7F7A"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58BA3174"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Transportation</w:t>
            </w:r>
          </w:p>
        </w:tc>
        <w:tc>
          <w:tcPr>
            <w:tcW w:w="683" w:type="pct"/>
            <w:tcBorders>
              <w:top w:val="nil"/>
              <w:left w:val="nil"/>
              <w:bottom w:val="single" w:sz="4" w:space="0" w:color="auto"/>
              <w:right w:val="single" w:sz="4" w:space="0" w:color="auto"/>
            </w:tcBorders>
            <w:shd w:val="clear" w:color="auto" w:fill="auto"/>
            <w:noWrap/>
            <w:vAlign w:val="bottom"/>
            <w:hideMark/>
          </w:tcPr>
          <w:p w14:paraId="7A080993"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w:t>
            </w:r>
          </w:p>
        </w:tc>
        <w:tc>
          <w:tcPr>
            <w:tcW w:w="643" w:type="pct"/>
            <w:tcBorders>
              <w:top w:val="nil"/>
              <w:left w:val="nil"/>
              <w:bottom w:val="single" w:sz="4" w:space="0" w:color="auto"/>
              <w:right w:val="single" w:sz="4" w:space="0" w:color="auto"/>
            </w:tcBorders>
            <w:shd w:val="clear" w:color="auto" w:fill="auto"/>
            <w:vAlign w:val="bottom"/>
            <w:hideMark/>
          </w:tcPr>
          <w:p w14:paraId="216455D3"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DRPT</w:t>
            </w:r>
          </w:p>
        </w:tc>
        <w:tc>
          <w:tcPr>
            <w:tcW w:w="801" w:type="pct"/>
            <w:tcBorders>
              <w:top w:val="nil"/>
              <w:left w:val="nil"/>
              <w:bottom w:val="single" w:sz="4" w:space="0" w:color="auto"/>
              <w:right w:val="single" w:sz="4" w:space="0" w:color="auto"/>
            </w:tcBorders>
            <w:shd w:val="clear" w:color="auto" w:fill="auto"/>
            <w:vAlign w:val="center"/>
            <w:hideMark/>
          </w:tcPr>
          <w:p w14:paraId="56675B91"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5630B0A0"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r w:rsidR="00B31120" w:rsidRPr="00B31120" w14:paraId="2046800E" w14:textId="77777777" w:rsidTr="00B31120">
        <w:trPr>
          <w:trHeight w:val="300"/>
        </w:trPr>
        <w:tc>
          <w:tcPr>
            <w:tcW w:w="269" w:type="pct"/>
            <w:tcBorders>
              <w:top w:val="nil"/>
              <w:left w:val="nil"/>
              <w:bottom w:val="nil"/>
              <w:right w:val="nil"/>
            </w:tcBorders>
            <w:shd w:val="clear" w:color="auto" w:fill="auto"/>
            <w:vAlign w:val="bottom"/>
            <w:hideMark/>
          </w:tcPr>
          <w:p w14:paraId="605BC661"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w:t>
            </w: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3BD660A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Transportation</w:t>
            </w:r>
          </w:p>
        </w:tc>
        <w:tc>
          <w:tcPr>
            <w:tcW w:w="683" w:type="pct"/>
            <w:tcBorders>
              <w:top w:val="nil"/>
              <w:left w:val="nil"/>
              <w:bottom w:val="single" w:sz="4" w:space="0" w:color="auto"/>
              <w:right w:val="single" w:sz="4" w:space="0" w:color="auto"/>
            </w:tcBorders>
            <w:shd w:val="clear" w:color="auto" w:fill="auto"/>
            <w:noWrap/>
            <w:vAlign w:val="bottom"/>
            <w:hideMark/>
          </w:tcPr>
          <w:p w14:paraId="2A47230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Audit, ISO</w:t>
            </w:r>
          </w:p>
        </w:tc>
        <w:tc>
          <w:tcPr>
            <w:tcW w:w="643" w:type="pct"/>
            <w:tcBorders>
              <w:top w:val="nil"/>
              <w:left w:val="nil"/>
              <w:bottom w:val="single" w:sz="4" w:space="0" w:color="auto"/>
              <w:right w:val="single" w:sz="4" w:space="0" w:color="auto"/>
            </w:tcBorders>
            <w:shd w:val="clear" w:color="auto" w:fill="auto"/>
            <w:vAlign w:val="bottom"/>
            <w:hideMark/>
          </w:tcPr>
          <w:p w14:paraId="061802D7"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MVDB</w:t>
            </w:r>
          </w:p>
        </w:tc>
        <w:tc>
          <w:tcPr>
            <w:tcW w:w="801" w:type="pct"/>
            <w:tcBorders>
              <w:top w:val="nil"/>
              <w:left w:val="nil"/>
              <w:bottom w:val="single" w:sz="4" w:space="0" w:color="auto"/>
              <w:right w:val="single" w:sz="4" w:space="0" w:color="auto"/>
            </w:tcBorders>
            <w:shd w:val="clear" w:color="auto" w:fill="auto"/>
            <w:vAlign w:val="center"/>
            <w:hideMark/>
          </w:tcPr>
          <w:p w14:paraId="28FE1110"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35E15354"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r>
      <w:tr w:rsidR="00B31120" w:rsidRPr="00B31120" w14:paraId="15E42C76" w14:textId="77777777" w:rsidTr="00B31120">
        <w:trPr>
          <w:trHeight w:val="300"/>
        </w:trPr>
        <w:tc>
          <w:tcPr>
            <w:tcW w:w="269" w:type="pct"/>
            <w:tcBorders>
              <w:top w:val="nil"/>
              <w:left w:val="nil"/>
              <w:bottom w:val="nil"/>
              <w:right w:val="nil"/>
            </w:tcBorders>
            <w:shd w:val="clear" w:color="auto" w:fill="auto"/>
            <w:vAlign w:val="bottom"/>
            <w:hideMark/>
          </w:tcPr>
          <w:p w14:paraId="4BAB57F3"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0759EE55"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Transportation</w:t>
            </w:r>
          </w:p>
        </w:tc>
        <w:tc>
          <w:tcPr>
            <w:tcW w:w="683" w:type="pct"/>
            <w:tcBorders>
              <w:top w:val="nil"/>
              <w:left w:val="nil"/>
              <w:bottom w:val="single" w:sz="4" w:space="0" w:color="auto"/>
              <w:right w:val="single" w:sz="4" w:space="0" w:color="auto"/>
            </w:tcBorders>
            <w:shd w:val="clear" w:color="auto" w:fill="auto"/>
            <w:noWrap/>
            <w:vAlign w:val="bottom"/>
            <w:hideMark/>
          </w:tcPr>
          <w:p w14:paraId="2018D952"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7455D93B"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VDOT</w:t>
            </w:r>
          </w:p>
        </w:tc>
        <w:tc>
          <w:tcPr>
            <w:tcW w:w="801" w:type="pct"/>
            <w:tcBorders>
              <w:top w:val="nil"/>
              <w:left w:val="nil"/>
              <w:bottom w:val="single" w:sz="4" w:space="0" w:color="auto"/>
              <w:right w:val="single" w:sz="4" w:space="0" w:color="auto"/>
            </w:tcBorders>
            <w:shd w:val="clear" w:color="auto" w:fill="auto"/>
            <w:vAlign w:val="center"/>
            <w:hideMark/>
          </w:tcPr>
          <w:p w14:paraId="58E779A8"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B</w:t>
            </w:r>
          </w:p>
        </w:tc>
        <w:tc>
          <w:tcPr>
            <w:tcW w:w="840" w:type="pct"/>
            <w:tcBorders>
              <w:top w:val="nil"/>
              <w:left w:val="nil"/>
              <w:bottom w:val="single" w:sz="4" w:space="0" w:color="auto"/>
              <w:right w:val="single" w:sz="4" w:space="0" w:color="auto"/>
            </w:tcBorders>
            <w:shd w:val="clear" w:color="auto" w:fill="auto"/>
            <w:vAlign w:val="center"/>
            <w:hideMark/>
          </w:tcPr>
          <w:p w14:paraId="4332FB6C"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C</w:t>
            </w:r>
          </w:p>
        </w:tc>
      </w:tr>
      <w:tr w:rsidR="00B31120" w:rsidRPr="00B31120" w14:paraId="243B732C" w14:textId="77777777" w:rsidTr="00B31120">
        <w:trPr>
          <w:trHeight w:val="300"/>
        </w:trPr>
        <w:tc>
          <w:tcPr>
            <w:tcW w:w="269" w:type="pct"/>
            <w:tcBorders>
              <w:top w:val="nil"/>
              <w:left w:val="nil"/>
              <w:bottom w:val="nil"/>
              <w:right w:val="nil"/>
            </w:tcBorders>
            <w:shd w:val="clear" w:color="auto" w:fill="auto"/>
            <w:vAlign w:val="bottom"/>
            <w:hideMark/>
          </w:tcPr>
          <w:p w14:paraId="6D8A769E"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73F57DBC"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Veterans and Defense Affairs</w:t>
            </w:r>
          </w:p>
        </w:tc>
        <w:tc>
          <w:tcPr>
            <w:tcW w:w="683" w:type="pct"/>
            <w:tcBorders>
              <w:top w:val="nil"/>
              <w:left w:val="nil"/>
              <w:bottom w:val="single" w:sz="4" w:space="0" w:color="auto"/>
              <w:right w:val="single" w:sz="4" w:space="0" w:color="auto"/>
            </w:tcBorders>
            <w:shd w:val="clear" w:color="auto" w:fill="auto"/>
            <w:noWrap/>
            <w:vAlign w:val="bottom"/>
            <w:hideMark/>
          </w:tcPr>
          <w:p w14:paraId="2BE59C8B"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22B35518"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DMA</w:t>
            </w:r>
          </w:p>
        </w:tc>
        <w:tc>
          <w:tcPr>
            <w:tcW w:w="801" w:type="pct"/>
            <w:tcBorders>
              <w:top w:val="nil"/>
              <w:left w:val="nil"/>
              <w:bottom w:val="single" w:sz="4" w:space="0" w:color="auto"/>
              <w:right w:val="single" w:sz="4" w:space="0" w:color="auto"/>
            </w:tcBorders>
            <w:shd w:val="clear" w:color="auto" w:fill="auto"/>
            <w:vAlign w:val="center"/>
            <w:hideMark/>
          </w:tcPr>
          <w:p w14:paraId="38454116"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c>
          <w:tcPr>
            <w:tcW w:w="840" w:type="pct"/>
            <w:tcBorders>
              <w:top w:val="nil"/>
              <w:left w:val="nil"/>
              <w:bottom w:val="single" w:sz="4" w:space="0" w:color="auto"/>
              <w:right w:val="single" w:sz="4" w:space="0" w:color="auto"/>
            </w:tcBorders>
            <w:shd w:val="clear" w:color="auto" w:fill="auto"/>
            <w:vAlign w:val="center"/>
            <w:hideMark/>
          </w:tcPr>
          <w:p w14:paraId="53DEC514"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F</w:t>
            </w:r>
          </w:p>
        </w:tc>
      </w:tr>
      <w:tr w:rsidR="00B31120" w:rsidRPr="00B31120" w14:paraId="07D4144B" w14:textId="77777777" w:rsidTr="00B31120">
        <w:trPr>
          <w:trHeight w:val="300"/>
        </w:trPr>
        <w:tc>
          <w:tcPr>
            <w:tcW w:w="269" w:type="pct"/>
            <w:tcBorders>
              <w:top w:val="nil"/>
              <w:left w:val="nil"/>
              <w:bottom w:val="nil"/>
              <w:right w:val="nil"/>
            </w:tcBorders>
            <w:shd w:val="clear" w:color="auto" w:fill="auto"/>
            <w:vAlign w:val="bottom"/>
            <w:hideMark/>
          </w:tcPr>
          <w:p w14:paraId="17BE2FD6" w14:textId="77777777" w:rsidR="00B31120" w:rsidRPr="00B31120" w:rsidRDefault="00B31120" w:rsidP="00B31120">
            <w:pPr>
              <w:rPr>
                <w:rFonts w:ascii="Calibri" w:hAnsi="Calibri" w:cs="Calibri"/>
                <w:sz w:val="22"/>
                <w:szCs w:val="22"/>
              </w:rPr>
            </w:pPr>
          </w:p>
        </w:tc>
        <w:tc>
          <w:tcPr>
            <w:tcW w:w="1764" w:type="pct"/>
            <w:tcBorders>
              <w:top w:val="nil"/>
              <w:left w:val="single" w:sz="4" w:space="0" w:color="auto"/>
              <w:bottom w:val="single" w:sz="4" w:space="0" w:color="auto"/>
              <w:right w:val="single" w:sz="4" w:space="0" w:color="auto"/>
            </w:tcBorders>
            <w:shd w:val="clear" w:color="auto" w:fill="auto"/>
            <w:noWrap/>
            <w:vAlign w:val="bottom"/>
            <w:hideMark/>
          </w:tcPr>
          <w:p w14:paraId="763DD7D7"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Veterans and Defense Affairs</w:t>
            </w:r>
          </w:p>
        </w:tc>
        <w:tc>
          <w:tcPr>
            <w:tcW w:w="683" w:type="pct"/>
            <w:tcBorders>
              <w:top w:val="nil"/>
              <w:left w:val="nil"/>
              <w:bottom w:val="single" w:sz="4" w:space="0" w:color="auto"/>
              <w:right w:val="single" w:sz="4" w:space="0" w:color="auto"/>
            </w:tcBorders>
            <w:shd w:val="clear" w:color="auto" w:fill="auto"/>
            <w:noWrap/>
            <w:vAlign w:val="bottom"/>
            <w:hideMark/>
          </w:tcPr>
          <w:p w14:paraId="3D8E4EAA"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 </w:t>
            </w:r>
          </w:p>
        </w:tc>
        <w:tc>
          <w:tcPr>
            <w:tcW w:w="643" w:type="pct"/>
            <w:tcBorders>
              <w:top w:val="nil"/>
              <w:left w:val="nil"/>
              <w:bottom w:val="single" w:sz="4" w:space="0" w:color="auto"/>
              <w:right w:val="single" w:sz="4" w:space="0" w:color="auto"/>
            </w:tcBorders>
            <w:shd w:val="clear" w:color="auto" w:fill="auto"/>
            <w:vAlign w:val="bottom"/>
            <w:hideMark/>
          </w:tcPr>
          <w:p w14:paraId="176C9778" w14:textId="77777777" w:rsidR="00B31120" w:rsidRPr="00B31120" w:rsidRDefault="00B31120" w:rsidP="00B31120">
            <w:pPr>
              <w:rPr>
                <w:rFonts w:ascii="Calibri" w:hAnsi="Calibri" w:cs="Calibri"/>
                <w:sz w:val="22"/>
                <w:szCs w:val="22"/>
              </w:rPr>
            </w:pPr>
            <w:r w:rsidRPr="00B31120">
              <w:rPr>
                <w:rFonts w:ascii="Calibri" w:hAnsi="Calibri" w:cs="Calibri"/>
                <w:sz w:val="22"/>
                <w:szCs w:val="22"/>
              </w:rPr>
              <w:t>DVS</w:t>
            </w:r>
          </w:p>
        </w:tc>
        <w:tc>
          <w:tcPr>
            <w:tcW w:w="801" w:type="pct"/>
            <w:tcBorders>
              <w:top w:val="nil"/>
              <w:left w:val="nil"/>
              <w:bottom w:val="single" w:sz="4" w:space="0" w:color="auto"/>
              <w:right w:val="single" w:sz="4" w:space="0" w:color="auto"/>
            </w:tcBorders>
            <w:shd w:val="clear" w:color="auto" w:fill="auto"/>
            <w:vAlign w:val="center"/>
            <w:hideMark/>
          </w:tcPr>
          <w:p w14:paraId="06C34286"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c>
          <w:tcPr>
            <w:tcW w:w="840" w:type="pct"/>
            <w:tcBorders>
              <w:top w:val="nil"/>
              <w:left w:val="nil"/>
              <w:bottom w:val="single" w:sz="4" w:space="0" w:color="auto"/>
              <w:right w:val="single" w:sz="4" w:space="0" w:color="auto"/>
            </w:tcBorders>
            <w:shd w:val="clear" w:color="auto" w:fill="auto"/>
            <w:vAlign w:val="center"/>
            <w:hideMark/>
          </w:tcPr>
          <w:p w14:paraId="0BDBBC51" w14:textId="77777777" w:rsidR="00B31120" w:rsidRPr="00B31120" w:rsidRDefault="00B31120" w:rsidP="00B31120">
            <w:pPr>
              <w:jc w:val="center"/>
              <w:rPr>
                <w:rFonts w:ascii="Calibri" w:hAnsi="Calibri" w:cs="Calibri"/>
                <w:sz w:val="22"/>
                <w:szCs w:val="22"/>
              </w:rPr>
            </w:pPr>
            <w:r w:rsidRPr="00B31120">
              <w:rPr>
                <w:rFonts w:ascii="Calibri" w:hAnsi="Calibri" w:cs="Calibri"/>
                <w:sz w:val="22"/>
                <w:szCs w:val="22"/>
              </w:rPr>
              <w:t>A</w:t>
            </w:r>
          </w:p>
        </w:tc>
      </w:tr>
    </w:tbl>
    <w:p w14:paraId="71099A56" w14:textId="77777777" w:rsidR="002E75A2" w:rsidRPr="008C0EE2" w:rsidRDefault="002E75A2" w:rsidP="002E75A2">
      <w:pPr>
        <w:rPr>
          <w:rFonts w:ascii="Verdana" w:eastAsiaTheme="minorHAnsi" w:hAnsi="Verdana"/>
          <w:sz w:val="20"/>
          <w:szCs w:val="22"/>
          <w:highlight w:val="yellow"/>
        </w:rPr>
      </w:pPr>
    </w:p>
    <w:bookmarkEnd w:id="26"/>
    <w:p w14:paraId="64069C37" w14:textId="77777777" w:rsidR="0067666C" w:rsidRPr="003B60CC" w:rsidRDefault="0067666C" w:rsidP="00AC46DE">
      <w:pPr>
        <w:rPr>
          <w:rFonts w:ascii="Verdana" w:eastAsiaTheme="minorHAnsi" w:hAnsi="Verdana" w:cstheme="minorBidi"/>
          <w:b/>
          <w:color w:val="auto"/>
          <w:sz w:val="20"/>
          <w:szCs w:val="20"/>
        </w:rPr>
        <w:sectPr w:rsidR="0067666C" w:rsidRPr="003B60CC" w:rsidSect="003B60CC">
          <w:headerReference w:type="even" r:id="rId50"/>
          <w:headerReference w:type="default" r:id="rId51"/>
          <w:footerReference w:type="default" r:id="rId52"/>
          <w:headerReference w:type="first" r:id="rId53"/>
          <w:pgSz w:w="12240" w:h="15840" w:code="1"/>
          <w:pgMar w:top="720" w:right="720" w:bottom="720" w:left="720" w:header="720" w:footer="720" w:gutter="0"/>
          <w:cols w:space="720"/>
          <w:docGrid w:linePitch="360"/>
        </w:sectPr>
      </w:pPr>
    </w:p>
    <w:p w14:paraId="7BCBF8EB" w14:textId="77777777" w:rsidR="00973A32" w:rsidRPr="00D075FF" w:rsidRDefault="00973A32" w:rsidP="00D075FF">
      <w:pPr>
        <w:pStyle w:val="Heading1"/>
        <w:rPr>
          <w:rFonts w:ascii="Verdana" w:hAnsi="Verdana"/>
          <w:sz w:val="24"/>
          <w:szCs w:val="24"/>
        </w:rPr>
      </w:pPr>
      <w:bookmarkStart w:id="33" w:name="_Toc14262290"/>
      <w:r w:rsidRPr="00D075FF">
        <w:rPr>
          <w:rFonts w:ascii="Verdana" w:hAnsi="Verdana"/>
          <w:sz w:val="24"/>
          <w:szCs w:val="24"/>
        </w:rPr>
        <w:t>Appendix II - Agency information security data points</w:t>
      </w:r>
      <w:bookmarkEnd w:id="33"/>
      <w:r w:rsidRPr="00D075FF">
        <w:rPr>
          <w:rFonts w:ascii="Verdana" w:hAnsi="Verdana"/>
          <w:sz w:val="24"/>
          <w:szCs w:val="24"/>
        </w:rPr>
        <w:t xml:space="preserve"> </w:t>
      </w:r>
    </w:p>
    <w:p w14:paraId="5B193F16" w14:textId="77777777" w:rsidR="00973A32" w:rsidRPr="00B62F46" w:rsidRDefault="00973A32" w:rsidP="00973A32">
      <w:pPr>
        <w:rPr>
          <w:rFonts w:ascii="Verdana" w:hAnsi="Verdana"/>
          <w:b/>
          <w:bCs/>
          <w:iCs/>
          <w:sz w:val="20"/>
          <w:szCs w:val="20"/>
        </w:rPr>
      </w:pPr>
      <w:r w:rsidRPr="00B62F46">
        <w:rPr>
          <w:rFonts w:ascii="Verdana" w:hAnsi="Verdana"/>
          <w:b/>
          <w:bCs/>
          <w:iCs/>
          <w:sz w:val="20"/>
          <w:szCs w:val="20"/>
        </w:rPr>
        <w:t>Agency information security data points detail - Legend</w:t>
      </w:r>
    </w:p>
    <w:p w14:paraId="72962899" w14:textId="77777777" w:rsidR="00973A32" w:rsidRPr="00B62F46" w:rsidRDefault="00973A32" w:rsidP="00973A32">
      <w:pPr>
        <w:rPr>
          <w:rFonts w:ascii="Verdana" w:eastAsiaTheme="minorHAnsi" w:hAnsi="Verdana" w:cstheme="minorBidi"/>
          <w:b/>
          <w:color w:val="auto"/>
          <w:sz w:val="20"/>
          <w:szCs w:val="20"/>
        </w:rPr>
      </w:pPr>
    </w:p>
    <w:p w14:paraId="3AE71D19" w14:textId="6BA62033" w:rsidR="00D827EE" w:rsidRPr="003B60CC" w:rsidRDefault="00D827EE" w:rsidP="00AC46DE">
      <w:pPr>
        <w:rPr>
          <w:rFonts w:ascii="Verdana" w:eastAsiaTheme="minorHAnsi" w:hAnsi="Verdana" w:cstheme="minorBidi"/>
          <w:b/>
          <w:color w:val="auto"/>
          <w:sz w:val="20"/>
          <w:szCs w:val="20"/>
        </w:rPr>
      </w:pPr>
      <w:r w:rsidRPr="003B60CC">
        <w:rPr>
          <w:rFonts w:ascii="Verdana" w:eastAsiaTheme="minorHAnsi" w:hAnsi="Verdana" w:cstheme="minorBidi"/>
          <w:b/>
          <w:color w:val="auto"/>
          <w:sz w:val="20"/>
          <w:szCs w:val="20"/>
        </w:rPr>
        <w:t>Audit</w:t>
      </w:r>
      <w:r w:rsidR="00B377E6" w:rsidRPr="003B60CC">
        <w:rPr>
          <w:rFonts w:ascii="Verdana" w:eastAsiaTheme="minorHAnsi" w:hAnsi="Verdana" w:cstheme="minorBidi"/>
          <w:b/>
          <w:color w:val="auto"/>
          <w:sz w:val="20"/>
          <w:szCs w:val="20"/>
        </w:rPr>
        <w:t xml:space="preserve"> and/or ISO </w:t>
      </w:r>
      <w:r w:rsidR="002B773E" w:rsidRPr="003B60CC">
        <w:rPr>
          <w:rFonts w:ascii="Verdana" w:eastAsiaTheme="minorHAnsi" w:hAnsi="Verdana" w:cstheme="minorBidi"/>
          <w:b/>
          <w:color w:val="auto"/>
          <w:sz w:val="20"/>
          <w:szCs w:val="20"/>
        </w:rPr>
        <w:t>s</w:t>
      </w:r>
      <w:r w:rsidR="00B377E6" w:rsidRPr="003B60CC">
        <w:rPr>
          <w:rFonts w:ascii="Verdana" w:eastAsiaTheme="minorHAnsi" w:hAnsi="Verdana" w:cstheme="minorBidi"/>
          <w:b/>
          <w:color w:val="auto"/>
          <w:sz w:val="20"/>
          <w:szCs w:val="20"/>
        </w:rPr>
        <w:t xml:space="preserve">hared </w:t>
      </w:r>
      <w:r w:rsidR="002B773E" w:rsidRPr="003B60CC">
        <w:rPr>
          <w:rFonts w:ascii="Verdana" w:eastAsiaTheme="minorHAnsi" w:hAnsi="Verdana" w:cstheme="minorBidi"/>
          <w:b/>
          <w:color w:val="auto"/>
          <w:sz w:val="20"/>
          <w:szCs w:val="20"/>
        </w:rPr>
        <w:t>s</w:t>
      </w:r>
      <w:r w:rsidR="00B377E6" w:rsidRPr="003B60CC">
        <w:rPr>
          <w:rFonts w:ascii="Verdana" w:eastAsiaTheme="minorHAnsi" w:hAnsi="Verdana" w:cstheme="minorBidi"/>
          <w:b/>
          <w:color w:val="auto"/>
          <w:sz w:val="20"/>
          <w:szCs w:val="20"/>
        </w:rPr>
        <w:t>ervices</w:t>
      </w:r>
    </w:p>
    <w:p w14:paraId="0DCBF42E" w14:textId="1DF56582" w:rsidR="00B377E6" w:rsidRPr="003B60CC" w:rsidRDefault="00B377E6" w:rsidP="00AC46DE">
      <w:pPr>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 xml:space="preserve">Audit </w:t>
      </w:r>
      <w:r w:rsidRPr="003B60CC">
        <w:rPr>
          <w:rFonts w:ascii="Verdana" w:eastAsiaTheme="minorHAnsi" w:hAnsi="Verdana" w:cstheme="minorBidi"/>
          <w:color w:val="auto"/>
          <w:sz w:val="20"/>
          <w:szCs w:val="20"/>
        </w:rPr>
        <w:tab/>
      </w:r>
      <w:r w:rsidRPr="003B60CC">
        <w:rPr>
          <w:rFonts w:ascii="Verdana" w:eastAsiaTheme="minorHAnsi" w:hAnsi="Verdana" w:cstheme="minorBidi"/>
          <w:color w:val="auto"/>
          <w:sz w:val="20"/>
          <w:szCs w:val="20"/>
        </w:rPr>
        <w:tab/>
        <w:t>-Participated in VITA IT security audit service</w:t>
      </w:r>
    </w:p>
    <w:p w14:paraId="0EA12602" w14:textId="1E2C2DE6" w:rsidR="00B377E6" w:rsidRPr="003B60CC" w:rsidRDefault="00B377E6" w:rsidP="00AC46DE">
      <w:pPr>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ISO</w:t>
      </w:r>
      <w:r w:rsidRPr="003B60CC">
        <w:rPr>
          <w:rFonts w:ascii="Verdana" w:eastAsiaTheme="minorHAnsi" w:hAnsi="Verdana" w:cstheme="minorBidi"/>
          <w:color w:val="auto"/>
          <w:sz w:val="20"/>
          <w:szCs w:val="20"/>
        </w:rPr>
        <w:tab/>
      </w:r>
      <w:r w:rsidRPr="003B60CC">
        <w:rPr>
          <w:rFonts w:ascii="Verdana" w:eastAsiaTheme="minorHAnsi" w:hAnsi="Verdana" w:cstheme="minorBidi"/>
          <w:color w:val="auto"/>
          <w:sz w:val="20"/>
          <w:szCs w:val="20"/>
        </w:rPr>
        <w:tab/>
        <w:t>-Participated in VITA ISO program</w:t>
      </w:r>
    </w:p>
    <w:p w14:paraId="5002B859" w14:textId="5FF3309D" w:rsidR="00B377E6" w:rsidRPr="003B60CC" w:rsidRDefault="00B377E6" w:rsidP="00AC46DE">
      <w:pPr>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Audit, ISO</w:t>
      </w:r>
      <w:r w:rsidRPr="003B60CC">
        <w:rPr>
          <w:rFonts w:ascii="Verdana" w:eastAsiaTheme="minorHAnsi" w:hAnsi="Verdana" w:cstheme="minorBidi"/>
          <w:color w:val="auto"/>
          <w:sz w:val="20"/>
          <w:szCs w:val="20"/>
        </w:rPr>
        <w:tab/>
        <w:t xml:space="preserve">-Agency used both IT Security and audit services </w:t>
      </w:r>
    </w:p>
    <w:p w14:paraId="797BC3A0" w14:textId="77777777" w:rsidR="00B377E6" w:rsidRPr="003B60CC" w:rsidRDefault="00B377E6" w:rsidP="00AC46DE">
      <w:pPr>
        <w:rPr>
          <w:rFonts w:ascii="Verdana" w:eastAsiaTheme="minorHAnsi" w:hAnsi="Verdana" w:cstheme="minorBidi"/>
          <w:b/>
          <w:color w:val="auto"/>
          <w:sz w:val="20"/>
          <w:szCs w:val="20"/>
        </w:rPr>
      </w:pPr>
    </w:p>
    <w:p w14:paraId="457220B2" w14:textId="08C57D16" w:rsidR="00AC46DE" w:rsidRPr="003B60CC" w:rsidRDefault="006F35D6" w:rsidP="00AC46DE">
      <w:pPr>
        <w:rPr>
          <w:rFonts w:ascii="Verdana" w:eastAsiaTheme="minorHAnsi" w:hAnsi="Verdana" w:cstheme="minorBidi"/>
          <w:b/>
          <w:color w:val="auto"/>
          <w:sz w:val="20"/>
          <w:szCs w:val="20"/>
        </w:rPr>
      </w:pPr>
      <w:r w:rsidRPr="003B60CC">
        <w:rPr>
          <w:rFonts w:ascii="Verdana" w:eastAsiaTheme="minorHAnsi" w:hAnsi="Verdana" w:cstheme="minorBidi"/>
          <w:b/>
          <w:color w:val="auto"/>
          <w:sz w:val="20"/>
          <w:szCs w:val="20"/>
        </w:rPr>
        <w:t xml:space="preserve">Audit </w:t>
      </w:r>
      <w:r w:rsidR="002B773E" w:rsidRPr="003B60CC">
        <w:rPr>
          <w:rFonts w:ascii="Verdana" w:eastAsiaTheme="minorHAnsi" w:hAnsi="Verdana" w:cstheme="minorBidi"/>
          <w:b/>
          <w:color w:val="auto"/>
          <w:sz w:val="20"/>
          <w:szCs w:val="20"/>
        </w:rPr>
        <w:t>p</w:t>
      </w:r>
      <w:r w:rsidRPr="003B60CC">
        <w:rPr>
          <w:rFonts w:ascii="Verdana" w:eastAsiaTheme="minorHAnsi" w:hAnsi="Verdana" w:cstheme="minorBidi"/>
          <w:b/>
          <w:color w:val="auto"/>
          <w:sz w:val="20"/>
          <w:szCs w:val="20"/>
        </w:rPr>
        <w:t xml:space="preserve">lan </w:t>
      </w:r>
      <w:r w:rsidR="002B773E" w:rsidRPr="003B60CC">
        <w:rPr>
          <w:rFonts w:ascii="Verdana" w:eastAsiaTheme="minorHAnsi" w:hAnsi="Verdana" w:cstheme="minorBidi"/>
          <w:b/>
          <w:color w:val="auto"/>
          <w:sz w:val="20"/>
          <w:szCs w:val="20"/>
        </w:rPr>
        <w:t>s</w:t>
      </w:r>
      <w:r w:rsidRPr="003B60CC">
        <w:rPr>
          <w:rFonts w:ascii="Verdana" w:eastAsiaTheme="minorHAnsi" w:hAnsi="Verdana" w:cstheme="minorBidi"/>
          <w:b/>
          <w:color w:val="auto"/>
          <w:sz w:val="20"/>
          <w:szCs w:val="20"/>
        </w:rPr>
        <w:t>tatus</w:t>
      </w:r>
    </w:p>
    <w:p w14:paraId="465D327E" w14:textId="77777777" w:rsidR="00136E07" w:rsidRPr="003B60CC" w:rsidRDefault="00A06C9E">
      <w:pPr>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Pass</w:t>
      </w:r>
      <w:r w:rsidRPr="003B60CC">
        <w:rPr>
          <w:rFonts w:ascii="Verdana" w:eastAsiaTheme="minorHAnsi" w:hAnsi="Verdana" w:cstheme="minorBidi"/>
          <w:color w:val="auto"/>
          <w:sz w:val="20"/>
          <w:szCs w:val="20"/>
        </w:rPr>
        <w:tab/>
      </w:r>
      <w:r w:rsidRPr="003B60CC">
        <w:rPr>
          <w:rFonts w:ascii="Verdana" w:eastAsiaTheme="minorHAnsi" w:hAnsi="Verdana" w:cstheme="minorBidi"/>
          <w:color w:val="auto"/>
          <w:sz w:val="20"/>
          <w:szCs w:val="20"/>
        </w:rPr>
        <w:tab/>
      </w:r>
      <w:r w:rsidR="00AC46DE" w:rsidRPr="003B60CC">
        <w:rPr>
          <w:rFonts w:ascii="Verdana" w:eastAsiaTheme="minorHAnsi" w:hAnsi="Verdana" w:cstheme="minorBidi"/>
          <w:color w:val="auto"/>
          <w:sz w:val="20"/>
          <w:szCs w:val="20"/>
        </w:rPr>
        <w:t xml:space="preserve">- </w:t>
      </w:r>
      <w:r w:rsidR="007C01F5" w:rsidRPr="003B60CC">
        <w:rPr>
          <w:rFonts w:ascii="Verdana" w:eastAsiaTheme="minorHAnsi" w:hAnsi="Verdana" w:cstheme="minorBidi"/>
          <w:color w:val="auto"/>
          <w:sz w:val="20"/>
          <w:szCs w:val="20"/>
        </w:rPr>
        <w:t>D</w:t>
      </w:r>
      <w:r w:rsidR="00AC46DE" w:rsidRPr="003B60CC">
        <w:rPr>
          <w:rFonts w:ascii="Verdana" w:eastAsiaTheme="minorHAnsi" w:hAnsi="Verdana" w:cstheme="minorBidi"/>
          <w:color w:val="auto"/>
          <w:sz w:val="20"/>
          <w:szCs w:val="20"/>
        </w:rPr>
        <w:t>ocuments received as scheduled</w:t>
      </w:r>
    </w:p>
    <w:p w14:paraId="0066DFD9" w14:textId="77777777" w:rsidR="00136E07" w:rsidRPr="003B60CC" w:rsidRDefault="00A06C9E">
      <w:pPr>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N/C</w:t>
      </w:r>
      <w:r w:rsidRPr="003B60CC">
        <w:rPr>
          <w:rFonts w:ascii="Verdana" w:eastAsiaTheme="minorHAnsi" w:hAnsi="Verdana" w:cstheme="minorBidi"/>
          <w:color w:val="auto"/>
          <w:sz w:val="20"/>
          <w:szCs w:val="20"/>
        </w:rPr>
        <w:tab/>
      </w:r>
      <w:r w:rsidR="003122D6" w:rsidRPr="003B60CC">
        <w:rPr>
          <w:rFonts w:ascii="Verdana" w:eastAsiaTheme="minorHAnsi" w:hAnsi="Verdana" w:cstheme="minorBidi"/>
          <w:color w:val="auto"/>
          <w:sz w:val="20"/>
          <w:szCs w:val="20"/>
        </w:rPr>
        <w:tab/>
      </w:r>
      <w:r w:rsidR="00AC46DE" w:rsidRPr="003B60CC">
        <w:rPr>
          <w:rFonts w:ascii="Verdana" w:eastAsiaTheme="minorHAnsi" w:hAnsi="Verdana" w:cstheme="minorBidi"/>
          <w:color w:val="auto"/>
          <w:sz w:val="20"/>
          <w:szCs w:val="20"/>
        </w:rPr>
        <w:t xml:space="preserve">- Missing </w:t>
      </w:r>
      <w:r w:rsidR="00341FB1" w:rsidRPr="003B60CC">
        <w:rPr>
          <w:rFonts w:ascii="Verdana" w:eastAsiaTheme="minorHAnsi" w:hAnsi="Verdana" w:cstheme="minorBidi"/>
          <w:color w:val="auto"/>
          <w:sz w:val="20"/>
          <w:szCs w:val="20"/>
        </w:rPr>
        <w:t>a</w:t>
      </w:r>
      <w:r w:rsidR="00AC46DE" w:rsidRPr="003B60CC">
        <w:rPr>
          <w:rFonts w:ascii="Verdana" w:eastAsiaTheme="minorHAnsi" w:hAnsi="Verdana" w:cstheme="minorBidi"/>
          <w:color w:val="auto"/>
          <w:sz w:val="20"/>
          <w:szCs w:val="20"/>
        </w:rPr>
        <w:t>udit plan</w:t>
      </w:r>
    </w:p>
    <w:p w14:paraId="1C0CC5B7" w14:textId="77777777" w:rsidR="00B377E6" w:rsidRPr="003B60CC" w:rsidRDefault="00B377E6" w:rsidP="00431B5F">
      <w:pPr>
        <w:rPr>
          <w:rFonts w:ascii="Verdana" w:eastAsiaTheme="minorHAnsi" w:hAnsi="Verdana" w:cstheme="minorBidi"/>
          <w:b/>
          <w:color w:val="auto"/>
          <w:sz w:val="20"/>
          <w:szCs w:val="20"/>
        </w:rPr>
      </w:pPr>
    </w:p>
    <w:p w14:paraId="14552CA8" w14:textId="67C63669" w:rsidR="00A36288" w:rsidRPr="003B60CC" w:rsidRDefault="00B377E6" w:rsidP="00431B5F">
      <w:pPr>
        <w:rPr>
          <w:rFonts w:ascii="Verdana" w:eastAsiaTheme="minorHAnsi" w:hAnsi="Verdana" w:cstheme="minorBidi"/>
          <w:b/>
          <w:color w:val="auto"/>
          <w:sz w:val="20"/>
          <w:szCs w:val="20"/>
        </w:rPr>
      </w:pPr>
      <w:r w:rsidRPr="003B60CC">
        <w:rPr>
          <w:rFonts w:ascii="Verdana" w:eastAsiaTheme="minorHAnsi" w:hAnsi="Verdana" w:cstheme="minorBidi"/>
          <w:b/>
          <w:color w:val="auto"/>
          <w:sz w:val="20"/>
          <w:szCs w:val="20"/>
        </w:rPr>
        <w:t xml:space="preserve">Current </w:t>
      </w:r>
      <w:r w:rsidR="002B773E" w:rsidRPr="003B60CC">
        <w:rPr>
          <w:rFonts w:ascii="Verdana" w:eastAsiaTheme="minorHAnsi" w:hAnsi="Verdana" w:cstheme="minorBidi"/>
          <w:b/>
          <w:color w:val="auto"/>
          <w:sz w:val="20"/>
          <w:szCs w:val="20"/>
        </w:rPr>
        <w:t>y</w:t>
      </w:r>
      <w:r w:rsidRPr="003B60CC">
        <w:rPr>
          <w:rFonts w:ascii="Verdana" w:eastAsiaTheme="minorHAnsi" w:hAnsi="Verdana" w:cstheme="minorBidi"/>
          <w:b/>
          <w:color w:val="auto"/>
          <w:sz w:val="20"/>
          <w:szCs w:val="20"/>
        </w:rPr>
        <w:t xml:space="preserve">ear </w:t>
      </w:r>
      <w:r w:rsidR="002B773E" w:rsidRPr="003B60CC">
        <w:rPr>
          <w:rFonts w:ascii="Verdana" w:eastAsiaTheme="minorHAnsi" w:hAnsi="Verdana" w:cstheme="minorBidi"/>
          <w:b/>
          <w:color w:val="auto"/>
          <w:sz w:val="20"/>
          <w:szCs w:val="20"/>
        </w:rPr>
        <w:t>p</w:t>
      </w:r>
      <w:r w:rsidR="00563639" w:rsidRPr="003B60CC">
        <w:rPr>
          <w:rFonts w:ascii="Verdana" w:eastAsiaTheme="minorHAnsi" w:hAnsi="Verdana" w:cstheme="minorBidi"/>
          <w:b/>
          <w:color w:val="auto"/>
          <w:sz w:val="20"/>
          <w:szCs w:val="20"/>
        </w:rPr>
        <w:t>ercentage of</w:t>
      </w:r>
      <w:r w:rsidR="00A36288" w:rsidRPr="003B60CC">
        <w:rPr>
          <w:rFonts w:ascii="Verdana" w:eastAsiaTheme="minorHAnsi" w:hAnsi="Verdana" w:cstheme="minorBidi"/>
          <w:b/>
          <w:color w:val="auto"/>
          <w:sz w:val="20"/>
          <w:szCs w:val="20"/>
        </w:rPr>
        <w:t xml:space="preserve"> </w:t>
      </w:r>
      <w:r w:rsidR="002B773E" w:rsidRPr="003B60CC">
        <w:rPr>
          <w:rFonts w:ascii="Verdana" w:eastAsiaTheme="minorHAnsi" w:hAnsi="Verdana" w:cstheme="minorBidi"/>
          <w:b/>
          <w:color w:val="auto"/>
          <w:sz w:val="20"/>
          <w:szCs w:val="20"/>
        </w:rPr>
        <w:t>a</w:t>
      </w:r>
      <w:r w:rsidR="00A36288" w:rsidRPr="003B60CC">
        <w:rPr>
          <w:rFonts w:ascii="Verdana" w:eastAsiaTheme="minorHAnsi" w:hAnsi="Verdana" w:cstheme="minorBidi"/>
          <w:b/>
          <w:color w:val="auto"/>
          <w:sz w:val="20"/>
          <w:szCs w:val="20"/>
        </w:rPr>
        <w:t>udit</w:t>
      </w:r>
      <w:r w:rsidRPr="003B60CC">
        <w:rPr>
          <w:rFonts w:ascii="Verdana" w:eastAsiaTheme="minorHAnsi" w:hAnsi="Verdana" w:cstheme="minorBidi"/>
          <w:b/>
          <w:color w:val="auto"/>
          <w:sz w:val="20"/>
          <w:szCs w:val="20"/>
        </w:rPr>
        <w:t xml:space="preserve"> </w:t>
      </w:r>
      <w:r w:rsidR="002B773E" w:rsidRPr="003B60CC">
        <w:rPr>
          <w:rFonts w:ascii="Verdana" w:eastAsiaTheme="minorHAnsi" w:hAnsi="Verdana" w:cstheme="minorBidi"/>
          <w:b/>
          <w:color w:val="auto"/>
          <w:sz w:val="20"/>
          <w:szCs w:val="20"/>
        </w:rPr>
        <w:t>r</w:t>
      </w:r>
      <w:r w:rsidRPr="003B60CC">
        <w:rPr>
          <w:rFonts w:ascii="Verdana" w:eastAsiaTheme="minorHAnsi" w:hAnsi="Verdana" w:cstheme="minorBidi"/>
          <w:b/>
          <w:color w:val="auto"/>
          <w:sz w:val="20"/>
          <w:szCs w:val="20"/>
        </w:rPr>
        <w:t>eports</w:t>
      </w:r>
      <w:r w:rsidR="00A36288" w:rsidRPr="003B60CC">
        <w:rPr>
          <w:rFonts w:ascii="Verdana" w:eastAsiaTheme="minorHAnsi" w:hAnsi="Verdana" w:cstheme="minorBidi"/>
          <w:b/>
          <w:color w:val="auto"/>
          <w:sz w:val="20"/>
          <w:szCs w:val="20"/>
        </w:rPr>
        <w:t xml:space="preserve"> </w:t>
      </w:r>
      <w:r w:rsidR="002B773E" w:rsidRPr="003B60CC">
        <w:rPr>
          <w:rFonts w:ascii="Verdana" w:eastAsiaTheme="minorHAnsi" w:hAnsi="Verdana" w:cstheme="minorBidi"/>
          <w:b/>
          <w:color w:val="auto"/>
          <w:sz w:val="20"/>
          <w:szCs w:val="20"/>
        </w:rPr>
        <w:t>r</w:t>
      </w:r>
      <w:r w:rsidR="00A36288" w:rsidRPr="003B60CC">
        <w:rPr>
          <w:rFonts w:ascii="Verdana" w:eastAsiaTheme="minorHAnsi" w:hAnsi="Verdana" w:cstheme="minorBidi"/>
          <w:b/>
          <w:color w:val="auto"/>
          <w:sz w:val="20"/>
          <w:szCs w:val="20"/>
        </w:rPr>
        <w:t>eceived</w:t>
      </w:r>
    </w:p>
    <w:p w14:paraId="229EDEE8" w14:textId="77777777" w:rsidR="00A36288" w:rsidRPr="003B60CC" w:rsidRDefault="00A36288" w:rsidP="004E3647">
      <w:pPr>
        <w:numPr>
          <w:ilvl w:val="1"/>
          <w:numId w:val="0"/>
        </w:numPr>
        <w:spacing w:line="276" w:lineRule="auto"/>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X%</w:t>
      </w:r>
      <w:r w:rsidRPr="003B60CC">
        <w:rPr>
          <w:rFonts w:ascii="Verdana" w:eastAsiaTheme="minorHAnsi" w:hAnsi="Verdana" w:cstheme="minorBidi"/>
          <w:color w:val="auto"/>
          <w:sz w:val="20"/>
          <w:szCs w:val="20"/>
        </w:rPr>
        <w:tab/>
        <w:t>- The percentage of due audit reports received based on the security audit plan</w:t>
      </w:r>
    </w:p>
    <w:p w14:paraId="43DA34C3" w14:textId="77777777" w:rsidR="00D128ED" w:rsidRPr="003B60CC" w:rsidRDefault="00A36288" w:rsidP="004E3647">
      <w:pPr>
        <w:numPr>
          <w:ilvl w:val="1"/>
          <w:numId w:val="0"/>
        </w:numPr>
        <w:spacing w:line="276" w:lineRule="auto"/>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N/A</w:t>
      </w:r>
      <w:r w:rsidRPr="003B60CC">
        <w:rPr>
          <w:rFonts w:ascii="Verdana" w:eastAsiaTheme="minorHAnsi" w:hAnsi="Verdana" w:cstheme="minorBidi"/>
          <w:color w:val="auto"/>
          <w:sz w:val="20"/>
          <w:szCs w:val="20"/>
        </w:rPr>
        <w:tab/>
        <w:t xml:space="preserve">- Not applicable as the agency had no audits due </w:t>
      </w:r>
    </w:p>
    <w:p w14:paraId="2526E573" w14:textId="77777777" w:rsidR="00A36288" w:rsidRPr="003B60CC" w:rsidRDefault="00D128ED" w:rsidP="004E3647">
      <w:pPr>
        <w:numPr>
          <w:ilvl w:val="1"/>
          <w:numId w:val="0"/>
        </w:numPr>
        <w:spacing w:line="276" w:lineRule="auto"/>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N/C</w:t>
      </w:r>
      <w:r w:rsidRPr="003B60CC">
        <w:rPr>
          <w:rFonts w:ascii="Verdana" w:eastAsiaTheme="minorHAnsi" w:hAnsi="Verdana" w:cstheme="minorBidi"/>
          <w:color w:val="auto"/>
          <w:sz w:val="20"/>
          <w:szCs w:val="20"/>
        </w:rPr>
        <w:tab/>
        <w:t>- T</w:t>
      </w:r>
      <w:r w:rsidR="00A36288" w:rsidRPr="003B60CC">
        <w:rPr>
          <w:rFonts w:ascii="Verdana" w:eastAsiaTheme="minorHAnsi" w:hAnsi="Verdana" w:cstheme="minorBidi"/>
          <w:color w:val="auto"/>
          <w:sz w:val="20"/>
          <w:szCs w:val="20"/>
        </w:rPr>
        <w:t xml:space="preserve">he agency head has not submitted a </w:t>
      </w:r>
      <w:r w:rsidR="004A7638" w:rsidRPr="003B60CC">
        <w:rPr>
          <w:rFonts w:ascii="Verdana" w:eastAsiaTheme="minorHAnsi" w:hAnsi="Verdana" w:cstheme="minorBidi"/>
          <w:color w:val="auto"/>
          <w:sz w:val="20"/>
          <w:szCs w:val="20"/>
        </w:rPr>
        <w:t xml:space="preserve">complete IT </w:t>
      </w:r>
      <w:r w:rsidR="00A36288" w:rsidRPr="003B60CC">
        <w:rPr>
          <w:rFonts w:ascii="Verdana" w:eastAsiaTheme="minorHAnsi" w:hAnsi="Verdana" w:cstheme="minorBidi"/>
          <w:color w:val="auto"/>
          <w:sz w:val="20"/>
          <w:szCs w:val="20"/>
        </w:rPr>
        <w:t>security audit plan</w:t>
      </w:r>
    </w:p>
    <w:p w14:paraId="60219A14" w14:textId="77777777" w:rsidR="00B377E6" w:rsidRPr="003B60CC" w:rsidRDefault="00B377E6" w:rsidP="004E3647">
      <w:pPr>
        <w:numPr>
          <w:ilvl w:val="1"/>
          <w:numId w:val="0"/>
        </w:numPr>
        <w:spacing w:line="276" w:lineRule="auto"/>
        <w:rPr>
          <w:rFonts w:ascii="Verdana" w:eastAsiaTheme="minorHAnsi" w:hAnsi="Verdana" w:cstheme="minorBidi"/>
          <w:color w:val="auto"/>
          <w:sz w:val="20"/>
          <w:szCs w:val="20"/>
        </w:rPr>
      </w:pPr>
    </w:p>
    <w:p w14:paraId="603D20A0" w14:textId="2C937530" w:rsidR="00A36288" w:rsidRPr="003B60CC" w:rsidRDefault="00B377E6" w:rsidP="00431B5F">
      <w:pPr>
        <w:rPr>
          <w:rFonts w:ascii="Verdana" w:eastAsiaTheme="minorHAnsi" w:hAnsi="Verdana" w:cstheme="minorBidi"/>
          <w:b/>
          <w:color w:val="auto"/>
          <w:sz w:val="20"/>
          <w:szCs w:val="20"/>
        </w:rPr>
      </w:pPr>
      <w:r w:rsidRPr="003B60CC">
        <w:rPr>
          <w:rFonts w:ascii="Verdana" w:eastAsiaTheme="minorHAnsi" w:hAnsi="Verdana" w:cstheme="minorBidi"/>
          <w:b/>
          <w:color w:val="auto"/>
          <w:sz w:val="20"/>
          <w:szCs w:val="20"/>
        </w:rPr>
        <w:t xml:space="preserve">Current </w:t>
      </w:r>
      <w:r w:rsidR="002B773E" w:rsidRPr="003B60CC">
        <w:rPr>
          <w:rFonts w:ascii="Verdana" w:eastAsiaTheme="minorHAnsi" w:hAnsi="Verdana" w:cstheme="minorBidi"/>
          <w:b/>
          <w:color w:val="auto"/>
          <w:sz w:val="20"/>
          <w:szCs w:val="20"/>
        </w:rPr>
        <w:t>y</w:t>
      </w:r>
      <w:r w:rsidRPr="003B60CC">
        <w:rPr>
          <w:rFonts w:ascii="Verdana" w:eastAsiaTheme="minorHAnsi" w:hAnsi="Verdana" w:cstheme="minorBidi"/>
          <w:b/>
          <w:color w:val="auto"/>
          <w:sz w:val="20"/>
          <w:szCs w:val="20"/>
        </w:rPr>
        <w:t xml:space="preserve">ear </w:t>
      </w:r>
      <w:r w:rsidR="002B773E" w:rsidRPr="003B60CC">
        <w:rPr>
          <w:rFonts w:ascii="Verdana" w:eastAsiaTheme="minorHAnsi" w:hAnsi="Verdana" w:cstheme="minorBidi"/>
          <w:b/>
          <w:color w:val="auto"/>
          <w:sz w:val="20"/>
          <w:szCs w:val="20"/>
        </w:rPr>
        <w:t>p</w:t>
      </w:r>
      <w:r w:rsidRPr="003B60CC">
        <w:rPr>
          <w:rFonts w:ascii="Verdana" w:eastAsiaTheme="minorHAnsi" w:hAnsi="Verdana" w:cstheme="minorBidi"/>
          <w:b/>
          <w:color w:val="auto"/>
          <w:sz w:val="20"/>
          <w:szCs w:val="20"/>
        </w:rPr>
        <w:t xml:space="preserve">ercentage of </w:t>
      </w:r>
      <w:r w:rsidR="002B773E" w:rsidRPr="003B60CC">
        <w:rPr>
          <w:rFonts w:ascii="Verdana" w:eastAsiaTheme="minorHAnsi" w:hAnsi="Verdana" w:cstheme="minorBidi"/>
          <w:b/>
          <w:color w:val="auto"/>
          <w:sz w:val="20"/>
          <w:szCs w:val="20"/>
        </w:rPr>
        <w:t>q</w:t>
      </w:r>
      <w:r w:rsidR="00A36288" w:rsidRPr="003B60CC">
        <w:rPr>
          <w:rFonts w:ascii="Verdana" w:eastAsiaTheme="minorHAnsi" w:hAnsi="Verdana" w:cstheme="minorBidi"/>
          <w:b/>
          <w:color w:val="auto"/>
          <w:sz w:val="20"/>
          <w:szCs w:val="20"/>
        </w:rPr>
        <w:t xml:space="preserve">uarterly </w:t>
      </w:r>
      <w:r w:rsidR="002B773E" w:rsidRPr="003B60CC">
        <w:rPr>
          <w:rFonts w:ascii="Verdana" w:eastAsiaTheme="minorHAnsi" w:hAnsi="Verdana" w:cstheme="minorBidi"/>
          <w:b/>
          <w:color w:val="auto"/>
          <w:sz w:val="20"/>
          <w:szCs w:val="20"/>
        </w:rPr>
        <w:t>u</w:t>
      </w:r>
      <w:r w:rsidR="00A36288" w:rsidRPr="003B60CC">
        <w:rPr>
          <w:rFonts w:ascii="Verdana" w:eastAsiaTheme="minorHAnsi" w:hAnsi="Verdana" w:cstheme="minorBidi"/>
          <w:b/>
          <w:color w:val="auto"/>
          <w:sz w:val="20"/>
          <w:szCs w:val="20"/>
        </w:rPr>
        <w:t xml:space="preserve">pdates </w:t>
      </w:r>
      <w:r w:rsidR="002B773E" w:rsidRPr="003B60CC">
        <w:rPr>
          <w:rFonts w:ascii="Verdana" w:eastAsiaTheme="minorHAnsi" w:hAnsi="Verdana" w:cstheme="minorBidi"/>
          <w:b/>
          <w:color w:val="auto"/>
          <w:sz w:val="20"/>
          <w:szCs w:val="20"/>
        </w:rPr>
        <w:t>r</w:t>
      </w:r>
      <w:r w:rsidR="00A36288" w:rsidRPr="003B60CC">
        <w:rPr>
          <w:rFonts w:ascii="Verdana" w:eastAsiaTheme="minorHAnsi" w:hAnsi="Verdana" w:cstheme="minorBidi"/>
          <w:b/>
          <w:color w:val="auto"/>
          <w:sz w:val="20"/>
          <w:szCs w:val="20"/>
        </w:rPr>
        <w:t>eceived</w:t>
      </w:r>
    </w:p>
    <w:p w14:paraId="24198EA4" w14:textId="3AF72216" w:rsidR="00A36288" w:rsidRPr="003B60CC" w:rsidRDefault="00A36288" w:rsidP="004E3647">
      <w:pPr>
        <w:numPr>
          <w:ilvl w:val="1"/>
          <w:numId w:val="0"/>
        </w:numPr>
        <w:spacing w:line="276" w:lineRule="auto"/>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X%</w:t>
      </w:r>
      <w:r w:rsidRPr="003B60CC">
        <w:rPr>
          <w:rFonts w:ascii="Verdana" w:eastAsiaTheme="minorHAnsi" w:hAnsi="Verdana" w:cstheme="minorBidi"/>
          <w:color w:val="auto"/>
          <w:sz w:val="20"/>
          <w:szCs w:val="20"/>
        </w:rPr>
        <w:tab/>
        <w:t>- The percentage of due corrective action plans and quarterly update</w:t>
      </w:r>
      <w:r w:rsidR="00606733" w:rsidRPr="003B60CC">
        <w:rPr>
          <w:rFonts w:ascii="Verdana" w:eastAsiaTheme="minorHAnsi" w:hAnsi="Verdana" w:cstheme="minorBidi"/>
          <w:color w:val="auto"/>
          <w:sz w:val="20"/>
          <w:szCs w:val="20"/>
        </w:rPr>
        <w:t>s</w:t>
      </w:r>
      <w:r w:rsidRPr="003B60CC">
        <w:rPr>
          <w:rFonts w:ascii="Verdana" w:eastAsiaTheme="minorHAnsi" w:hAnsi="Verdana" w:cstheme="minorBidi"/>
          <w:color w:val="auto"/>
          <w:sz w:val="20"/>
          <w:szCs w:val="20"/>
        </w:rPr>
        <w:t xml:space="preserve"> received </w:t>
      </w:r>
    </w:p>
    <w:p w14:paraId="0381EE5E" w14:textId="35E38A1A" w:rsidR="00A36288" w:rsidRPr="003B60CC" w:rsidRDefault="00A36288" w:rsidP="004E3647">
      <w:pPr>
        <w:numPr>
          <w:ilvl w:val="1"/>
          <w:numId w:val="0"/>
        </w:numPr>
        <w:spacing w:line="276" w:lineRule="auto"/>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N/A</w:t>
      </w:r>
      <w:r w:rsidRPr="003B60CC">
        <w:rPr>
          <w:rFonts w:ascii="Verdana" w:eastAsiaTheme="minorHAnsi" w:hAnsi="Verdana" w:cstheme="minorBidi"/>
          <w:color w:val="auto"/>
          <w:sz w:val="20"/>
          <w:szCs w:val="20"/>
        </w:rPr>
        <w:tab/>
        <w:t>- Not applicable as the agency had no quarterly update</w:t>
      </w:r>
      <w:r w:rsidR="00FF1383" w:rsidRPr="003B60CC">
        <w:rPr>
          <w:rFonts w:ascii="Verdana" w:eastAsiaTheme="minorHAnsi" w:hAnsi="Verdana" w:cstheme="minorBidi"/>
          <w:color w:val="auto"/>
          <w:sz w:val="20"/>
          <w:szCs w:val="20"/>
        </w:rPr>
        <w:t>s</w:t>
      </w:r>
      <w:r w:rsidRPr="003B60CC">
        <w:rPr>
          <w:rFonts w:ascii="Verdana" w:eastAsiaTheme="minorHAnsi" w:hAnsi="Verdana" w:cstheme="minorBidi"/>
          <w:color w:val="auto"/>
          <w:sz w:val="20"/>
          <w:szCs w:val="20"/>
        </w:rPr>
        <w:t xml:space="preserve"> due </w:t>
      </w:r>
    </w:p>
    <w:p w14:paraId="42B06F76" w14:textId="77777777" w:rsidR="00D66546" w:rsidRPr="003B60CC" w:rsidRDefault="00D66546" w:rsidP="00431B5F">
      <w:pPr>
        <w:rPr>
          <w:rFonts w:ascii="Verdana" w:eastAsiaTheme="minorHAnsi" w:hAnsi="Verdana" w:cstheme="minorBidi"/>
          <w:b/>
          <w:color w:val="auto"/>
          <w:sz w:val="20"/>
          <w:szCs w:val="20"/>
        </w:rPr>
      </w:pPr>
    </w:p>
    <w:p w14:paraId="2AA235E3" w14:textId="50A7616F" w:rsidR="00A36288" w:rsidRPr="003B60CC" w:rsidRDefault="008B7303" w:rsidP="00431B5F">
      <w:pPr>
        <w:rPr>
          <w:rFonts w:ascii="Verdana" w:eastAsiaTheme="minorHAnsi" w:hAnsi="Verdana" w:cstheme="minorBidi"/>
          <w:b/>
          <w:color w:val="auto"/>
          <w:sz w:val="20"/>
          <w:szCs w:val="20"/>
        </w:rPr>
      </w:pPr>
      <w:r w:rsidRPr="003B60CC">
        <w:rPr>
          <w:rFonts w:ascii="Verdana" w:eastAsiaTheme="minorHAnsi" w:hAnsi="Verdana" w:cstheme="minorBidi"/>
          <w:b/>
          <w:color w:val="auto"/>
          <w:sz w:val="20"/>
          <w:szCs w:val="20"/>
        </w:rPr>
        <w:t>Three</w:t>
      </w:r>
      <w:r w:rsidR="004E3647" w:rsidRPr="003B60CC">
        <w:rPr>
          <w:rFonts w:ascii="Verdana" w:eastAsiaTheme="minorHAnsi" w:hAnsi="Verdana" w:cstheme="minorBidi"/>
          <w:b/>
          <w:color w:val="auto"/>
          <w:sz w:val="20"/>
          <w:szCs w:val="20"/>
        </w:rPr>
        <w:t xml:space="preserve"> </w:t>
      </w:r>
      <w:r w:rsidR="002B773E" w:rsidRPr="003B60CC">
        <w:rPr>
          <w:rFonts w:ascii="Verdana" w:eastAsiaTheme="minorHAnsi" w:hAnsi="Verdana" w:cstheme="minorBidi"/>
          <w:b/>
          <w:color w:val="auto"/>
          <w:sz w:val="20"/>
          <w:szCs w:val="20"/>
        </w:rPr>
        <w:t>y</w:t>
      </w:r>
      <w:r w:rsidR="004E3647" w:rsidRPr="003B60CC">
        <w:rPr>
          <w:rFonts w:ascii="Verdana" w:eastAsiaTheme="minorHAnsi" w:hAnsi="Verdana" w:cstheme="minorBidi"/>
          <w:b/>
          <w:color w:val="auto"/>
          <w:sz w:val="20"/>
          <w:szCs w:val="20"/>
        </w:rPr>
        <w:t xml:space="preserve">ear </w:t>
      </w:r>
      <w:r w:rsidR="002B773E" w:rsidRPr="003B60CC">
        <w:rPr>
          <w:rFonts w:ascii="Verdana" w:eastAsiaTheme="minorHAnsi" w:hAnsi="Verdana" w:cstheme="minorBidi"/>
          <w:b/>
          <w:color w:val="auto"/>
          <w:sz w:val="20"/>
          <w:szCs w:val="20"/>
        </w:rPr>
        <w:t>a</w:t>
      </w:r>
      <w:r w:rsidR="00A36288" w:rsidRPr="003B60CC">
        <w:rPr>
          <w:rFonts w:ascii="Verdana" w:eastAsiaTheme="minorHAnsi" w:hAnsi="Verdana" w:cstheme="minorBidi"/>
          <w:b/>
          <w:color w:val="auto"/>
          <w:sz w:val="20"/>
          <w:szCs w:val="20"/>
        </w:rPr>
        <w:t xml:space="preserve">udit </w:t>
      </w:r>
      <w:r w:rsidR="002B773E" w:rsidRPr="003B60CC">
        <w:rPr>
          <w:rFonts w:ascii="Verdana" w:eastAsiaTheme="minorHAnsi" w:hAnsi="Verdana" w:cstheme="minorBidi"/>
          <w:b/>
          <w:color w:val="auto"/>
          <w:sz w:val="20"/>
          <w:szCs w:val="20"/>
        </w:rPr>
        <w:t>o</w:t>
      </w:r>
      <w:r w:rsidR="00A36288" w:rsidRPr="003B60CC">
        <w:rPr>
          <w:rFonts w:ascii="Verdana" w:eastAsiaTheme="minorHAnsi" w:hAnsi="Verdana" w:cstheme="minorBidi"/>
          <w:b/>
          <w:color w:val="auto"/>
          <w:sz w:val="20"/>
          <w:szCs w:val="20"/>
        </w:rPr>
        <w:t xml:space="preserve">bligation  </w:t>
      </w:r>
    </w:p>
    <w:p w14:paraId="2BF9FF9C" w14:textId="77777777" w:rsidR="00A36288" w:rsidRPr="003B60CC" w:rsidRDefault="00A36288" w:rsidP="004E3647">
      <w:pPr>
        <w:numPr>
          <w:ilvl w:val="1"/>
          <w:numId w:val="0"/>
        </w:numPr>
        <w:spacing w:line="276" w:lineRule="auto"/>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X%</w:t>
      </w:r>
      <w:r w:rsidRPr="003B60CC">
        <w:rPr>
          <w:rFonts w:ascii="Verdana" w:eastAsiaTheme="minorHAnsi" w:hAnsi="Verdana" w:cstheme="minorBidi"/>
          <w:color w:val="auto"/>
          <w:sz w:val="20"/>
          <w:szCs w:val="20"/>
        </w:rPr>
        <w:tab/>
        <w:t>- The percentage of audit work completed as measured against the agency’s security audit plans over the past three years</w:t>
      </w:r>
    </w:p>
    <w:p w14:paraId="30CFDBB7" w14:textId="77777777" w:rsidR="00766E88" w:rsidRPr="003B60CC" w:rsidRDefault="00766E88" w:rsidP="00766E88">
      <w:pPr>
        <w:numPr>
          <w:ilvl w:val="1"/>
          <w:numId w:val="0"/>
        </w:numPr>
        <w:spacing w:line="276" w:lineRule="auto"/>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N/A</w:t>
      </w:r>
      <w:r w:rsidRPr="003B60CC">
        <w:rPr>
          <w:rFonts w:ascii="Verdana" w:eastAsiaTheme="minorHAnsi" w:hAnsi="Verdana" w:cstheme="minorBidi"/>
          <w:color w:val="auto"/>
          <w:sz w:val="20"/>
          <w:szCs w:val="20"/>
        </w:rPr>
        <w:tab/>
        <w:t xml:space="preserve">- Not applicable as the agency had no audits due </w:t>
      </w:r>
    </w:p>
    <w:p w14:paraId="312CBF5E" w14:textId="77777777" w:rsidR="00766E88" w:rsidRPr="003B60CC" w:rsidRDefault="00766E88" w:rsidP="00766E88">
      <w:pPr>
        <w:numPr>
          <w:ilvl w:val="1"/>
          <w:numId w:val="0"/>
        </w:numPr>
        <w:spacing w:line="276" w:lineRule="auto"/>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N/C</w:t>
      </w:r>
      <w:r w:rsidRPr="003B60CC">
        <w:rPr>
          <w:rFonts w:ascii="Verdana" w:eastAsiaTheme="minorHAnsi" w:hAnsi="Verdana" w:cstheme="minorBidi"/>
          <w:color w:val="auto"/>
          <w:sz w:val="20"/>
          <w:szCs w:val="20"/>
        </w:rPr>
        <w:tab/>
        <w:t>- The agency head has not submitted a security audit plan</w:t>
      </w:r>
    </w:p>
    <w:p w14:paraId="13A7B2AD" w14:textId="77777777" w:rsidR="0067666C" w:rsidRDefault="0067666C" w:rsidP="00B377E6">
      <w:pPr>
        <w:rPr>
          <w:rFonts w:ascii="Verdana" w:eastAsiaTheme="minorHAnsi" w:hAnsi="Verdana" w:cstheme="minorBidi"/>
          <w:b/>
          <w:color w:val="auto"/>
          <w:sz w:val="20"/>
          <w:szCs w:val="20"/>
        </w:rPr>
      </w:pPr>
    </w:p>
    <w:p w14:paraId="1DA11BCE" w14:textId="77777777" w:rsidR="00973A32" w:rsidRPr="003B60CC" w:rsidRDefault="00973A32" w:rsidP="00B377E6">
      <w:pPr>
        <w:rPr>
          <w:rFonts w:ascii="Verdana" w:eastAsiaTheme="minorHAnsi" w:hAnsi="Verdana" w:cstheme="minorBidi"/>
          <w:b/>
          <w:color w:val="auto"/>
          <w:sz w:val="20"/>
          <w:szCs w:val="20"/>
        </w:rPr>
      </w:pPr>
    </w:p>
    <w:p w14:paraId="237E5557" w14:textId="77777777" w:rsidR="0067666C" w:rsidRPr="003B60CC" w:rsidRDefault="0067666C" w:rsidP="00B377E6">
      <w:pPr>
        <w:rPr>
          <w:rFonts w:ascii="Verdana" w:eastAsiaTheme="minorHAnsi" w:hAnsi="Verdana" w:cstheme="minorBidi"/>
          <w:b/>
          <w:color w:val="auto"/>
          <w:sz w:val="20"/>
          <w:szCs w:val="20"/>
        </w:rPr>
      </w:pPr>
    </w:p>
    <w:p w14:paraId="05B0CD2D" w14:textId="77777777" w:rsidR="00D66546" w:rsidRDefault="00D66546" w:rsidP="00B377E6">
      <w:pPr>
        <w:rPr>
          <w:rFonts w:ascii="Verdana" w:eastAsiaTheme="minorHAnsi" w:hAnsi="Verdana" w:cstheme="minorBidi"/>
          <w:b/>
          <w:color w:val="auto"/>
          <w:sz w:val="20"/>
          <w:szCs w:val="20"/>
        </w:rPr>
      </w:pPr>
    </w:p>
    <w:p w14:paraId="1B1F41C5" w14:textId="77777777" w:rsidR="00973A32" w:rsidRDefault="00973A32" w:rsidP="00B377E6">
      <w:pPr>
        <w:rPr>
          <w:rFonts w:ascii="Verdana" w:eastAsiaTheme="minorHAnsi" w:hAnsi="Verdana" w:cstheme="minorBidi"/>
          <w:b/>
          <w:color w:val="auto"/>
          <w:sz w:val="20"/>
          <w:szCs w:val="20"/>
        </w:rPr>
      </w:pPr>
    </w:p>
    <w:p w14:paraId="192AE508" w14:textId="77777777" w:rsidR="00973A32" w:rsidRPr="003B60CC" w:rsidRDefault="00973A32" w:rsidP="00B377E6">
      <w:pPr>
        <w:rPr>
          <w:rFonts w:ascii="Verdana" w:eastAsiaTheme="minorHAnsi" w:hAnsi="Verdana" w:cstheme="minorBidi"/>
          <w:b/>
          <w:color w:val="auto"/>
          <w:sz w:val="20"/>
          <w:szCs w:val="20"/>
        </w:rPr>
      </w:pPr>
    </w:p>
    <w:p w14:paraId="6ABBD983" w14:textId="77777777" w:rsidR="00D66546" w:rsidRPr="003B60CC" w:rsidRDefault="00D66546" w:rsidP="00B377E6">
      <w:pPr>
        <w:rPr>
          <w:rFonts w:ascii="Verdana" w:eastAsiaTheme="minorHAnsi" w:hAnsi="Verdana" w:cstheme="minorBidi"/>
          <w:b/>
          <w:color w:val="auto"/>
          <w:sz w:val="20"/>
          <w:szCs w:val="20"/>
        </w:rPr>
      </w:pPr>
    </w:p>
    <w:p w14:paraId="2120F7DE" w14:textId="72E830DC" w:rsidR="00B377E6" w:rsidRPr="003B60CC" w:rsidRDefault="00B377E6" w:rsidP="00B377E6">
      <w:pPr>
        <w:rPr>
          <w:rFonts w:ascii="Verdana" w:eastAsiaTheme="minorHAnsi" w:hAnsi="Verdana" w:cstheme="minorBidi"/>
          <w:b/>
          <w:color w:val="auto"/>
          <w:sz w:val="20"/>
          <w:szCs w:val="20"/>
        </w:rPr>
      </w:pPr>
      <w:r w:rsidRPr="003B60CC">
        <w:rPr>
          <w:rFonts w:ascii="Verdana" w:eastAsiaTheme="minorHAnsi" w:hAnsi="Verdana" w:cstheme="minorBidi"/>
          <w:b/>
          <w:color w:val="auto"/>
          <w:sz w:val="20"/>
          <w:szCs w:val="20"/>
        </w:rPr>
        <w:t xml:space="preserve">Risk </w:t>
      </w:r>
      <w:r w:rsidR="002B773E" w:rsidRPr="003B60CC">
        <w:rPr>
          <w:rFonts w:ascii="Verdana" w:eastAsiaTheme="minorHAnsi" w:hAnsi="Verdana" w:cstheme="minorBidi"/>
          <w:b/>
          <w:color w:val="auto"/>
          <w:sz w:val="20"/>
          <w:szCs w:val="20"/>
        </w:rPr>
        <w:t>a</w:t>
      </w:r>
      <w:r w:rsidRPr="003B60CC">
        <w:rPr>
          <w:rFonts w:ascii="Verdana" w:eastAsiaTheme="minorHAnsi" w:hAnsi="Verdana" w:cstheme="minorBidi"/>
          <w:b/>
          <w:color w:val="auto"/>
          <w:sz w:val="20"/>
          <w:szCs w:val="20"/>
        </w:rPr>
        <w:t xml:space="preserve">ssessment </w:t>
      </w:r>
      <w:r w:rsidR="002B773E" w:rsidRPr="003B60CC">
        <w:rPr>
          <w:rFonts w:ascii="Verdana" w:eastAsiaTheme="minorHAnsi" w:hAnsi="Verdana" w:cstheme="minorBidi"/>
          <w:b/>
          <w:color w:val="auto"/>
          <w:sz w:val="20"/>
          <w:szCs w:val="20"/>
        </w:rPr>
        <w:t>p</w:t>
      </w:r>
      <w:r w:rsidRPr="003B60CC">
        <w:rPr>
          <w:rFonts w:ascii="Verdana" w:eastAsiaTheme="minorHAnsi" w:hAnsi="Verdana" w:cstheme="minorBidi"/>
          <w:b/>
          <w:color w:val="auto"/>
          <w:sz w:val="20"/>
          <w:szCs w:val="20"/>
        </w:rPr>
        <w:t xml:space="preserve">lan </w:t>
      </w:r>
      <w:r w:rsidR="002B773E" w:rsidRPr="003B60CC">
        <w:rPr>
          <w:rFonts w:ascii="Verdana" w:eastAsiaTheme="minorHAnsi" w:hAnsi="Verdana" w:cstheme="minorBidi"/>
          <w:b/>
          <w:color w:val="auto"/>
          <w:sz w:val="20"/>
          <w:szCs w:val="20"/>
        </w:rPr>
        <w:t>s</w:t>
      </w:r>
      <w:r w:rsidRPr="003B60CC">
        <w:rPr>
          <w:rFonts w:ascii="Verdana" w:eastAsiaTheme="minorHAnsi" w:hAnsi="Verdana" w:cstheme="minorBidi"/>
          <w:b/>
          <w:color w:val="auto"/>
          <w:sz w:val="20"/>
          <w:szCs w:val="20"/>
        </w:rPr>
        <w:t>tatus</w:t>
      </w:r>
    </w:p>
    <w:p w14:paraId="08D1C4BC" w14:textId="77777777" w:rsidR="00B377E6" w:rsidRPr="003B60CC" w:rsidRDefault="00B377E6" w:rsidP="00B377E6">
      <w:pPr>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Pass</w:t>
      </w:r>
      <w:r w:rsidRPr="003B60CC">
        <w:rPr>
          <w:rFonts w:ascii="Verdana" w:eastAsiaTheme="minorHAnsi" w:hAnsi="Verdana" w:cstheme="minorBidi"/>
          <w:color w:val="auto"/>
          <w:sz w:val="20"/>
          <w:szCs w:val="20"/>
        </w:rPr>
        <w:tab/>
      </w:r>
      <w:r w:rsidRPr="003B60CC">
        <w:rPr>
          <w:rFonts w:ascii="Verdana" w:eastAsiaTheme="minorHAnsi" w:hAnsi="Verdana" w:cstheme="minorBidi"/>
          <w:color w:val="auto"/>
          <w:sz w:val="20"/>
          <w:szCs w:val="20"/>
        </w:rPr>
        <w:tab/>
        <w:t>- Documents received as scheduled</w:t>
      </w:r>
    </w:p>
    <w:p w14:paraId="727525E7" w14:textId="692BE1A9" w:rsidR="00B377E6" w:rsidRPr="003B60CC" w:rsidRDefault="00B377E6" w:rsidP="00B377E6">
      <w:pPr>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N/C</w:t>
      </w:r>
      <w:r w:rsidRPr="003B60CC">
        <w:rPr>
          <w:rFonts w:ascii="Verdana" w:eastAsiaTheme="minorHAnsi" w:hAnsi="Verdana" w:cstheme="minorBidi"/>
          <w:color w:val="auto"/>
          <w:sz w:val="20"/>
          <w:szCs w:val="20"/>
        </w:rPr>
        <w:tab/>
      </w:r>
      <w:r w:rsidRPr="003B60CC">
        <w:rPr>
          <w:rFonts w:ascii="Verdana" w:eastAsiaTheme="minorHAnsi" w:hAnsi="Verdana" w:cstheme="minorBidi"/>
          <w:color w:val="auto"/>
          <w:sz w:val="20"/>
          <w:szCs w:val="20"/>
        </w:rPr>
        <w:tab/>
        <w:t>- Missing risk assessment plan</w:t>
      </w:r>
    </w:p>
    <w:p w14:paraId="537CF53F" w14:textId="77777777" w:rsidR="00B377E6" w:rsidRPr="003B60CC" w:rsidRDefault="00B377E6" w:rsidP="00B377E6">
      <w:pPr>
        <w:rPr>
          <w:rFonts w:ascii="Verdana" w:eastAsiaTheme="minorHAnsi" w:hAnsi="Verdana" w:cstheme="minorBidi"/>
          <w:color w:val="auto"/>
          <w:sz w:val="20"/>
          <w:szCs w:val="20"/>
        </w:rPr>
      </w:pPr>
    </w:p>
    <w:p w14:paraId="1CB6425B" w14:textId="0AB67D49" w:rsidR="004E3647" w:rsidRPr="003B60CC" w:rsidRDefault="008B7303" w:rsidP="00431B5F">
      <w:pPr>
        <w:rPr>
          <w:rFonts w:ascii="Verdana" w:eastAsiaTheme="minorHAnsi" w:hAnsi="Verdana" w:cstheme="minorBidi"/>
          <w:b/>
          <w:color w:val="auto"/>
          <w:sz w:val="20"/>
          <w:szCs w:val="20"/>
        </w:rPr>
      </w:pPr>
      <w:r w:rsidRPr="003B60CC">
        <w:rPr>
          <w:rFonts w:ascii="Verdana" w:eastAsiaTheme="minorHAnsi" w:hAnsi="Verdana" w:cstheme="minorBidi"/>
          <w:b/>
          <w:color w:val="auto"/>
          <w:sz w:val="20"/>
          <w:szCs w:val="20"/>
        </w:rPr>
        <w:t xml:space="preserve">Three </w:t>
      </w:r>
      <w:r w:rsidR="002B773E" w:rsidRPr="003B60CC">
        <w:rPr>
          <w:rFonts w:ascii="Verdana" w:eastAsiaTheme="minorHAnsi" w:hAnsi="Verdana" w:cstheme="minorBidi"/>
          <w:b/>
          <w:color w:val="auto"/>
          <w:sz w:val="20"/>
          <w:szCs w:val="20"/>
        </w:rPr>
        <w:t>y</w:t>
      </w:r>
      <w:r w:rsidR="004E3647" w:rsidRPr="003B60CC">
        <w:rPr>
          <w:rFonts w:ascii="Verdana" w:eastAsiaTheme="minorHAnsi" w:hAnsi="Verdana" w:cstheme="minorBidi"/>
          <w:b/>
          <w:color w:val="auto"/>
          <w:sz w:val="20"/>
          <w:szCs w:val="20"/>
        </w:rPr>
        <w:t xml:space="preserve">ear </w:t>
      </w:r>
      <w:r w:rsidR="002B773E" w:rsidRPr="003B60CC">
        <w:rPr>
          <w:rFonts w:ascii="Verdana" w:eastAsiaTheme="minorHAnsi" w:hAnsi="Verdana" w:cstheme="minorBidi"/>
          <w:b/>
          <w:color w:val="auto"/>
          <w:sz w:val="20"/>
          <w:szCs w:val="20"/>
        </w:rPr>
        <w:t>r</w:t>
      </w:r>
      <w:r w:rsidR="004E3647" w:rsidRPr="003B60CC">
        <w:rPr>
          <w:rFonts w:ascii="Verdana" w:eastAsiaTheme="minorHAnsi" w:hAnsi="Verdana" w:cstheme="minorBidi"/>
          <w:b/>
          <w:color w:val="auto"/>
          <w:sz w:val="20"/>
          <w:szCs w:val="20"/>
        </w:rPr>
        <w:t xml:space="preserve">isk </w:t>
      </w:r>
      <w:r w:rsidR="002B773E" w:rsidRPr="003B60CC">
        <w:rPr>
          <w:rFonts w:ascii="Verdana" w:eastAsiaTheme="minorHAnsi" w:hAnsi="Verdana" w:cstheme="minorBidi"/>
          <w:b/>
          <w:color w:val="auto"/>
          <w:sz w:val="20"/>
          <w:szCs w:val="20"/>
        </w:rPr>
        <w:t>a</w:t>
      </w:r>
      <w:r w:rsidR="004E3647" w:rsidRPr="003B60CC">
        <w:rPr>
          <w:rFonts w:ascii="Verdana" w:eastAsiaTheme="minorHAnsi" w:hAnsi="Verdana" w:cstheme="minorBidi"/>
          <w:b/>
          <w:color w:val="auto"/>
          <w:sz w:val="20"/>
          <w:szCs w:val="20"/>
        </w:rPr>
        <w:t xml:space="preserve">ssessment </w:t>
      </w:r>
      <w:r w:rsidR="002B773E" w:rsidRPr="003B60CC">
        <w:rPr>
          <w:rFonts w:ascii="Verdana" w:eastAsiaTheme="minorHAnsi" w:hAnsi="Verdana" w:cstheme="minorBidi"/>
          <w:b/>
          <w:color w:val="auto"/>
          <w:sz w:val="20"/>
          <w:szCs w:val="20"/>
        </w:rPr>
        <w:t>o</w:t>
      </w:r>
      <w:r w:rsidR="004E3647" w:rsidRPr="003B60CC">
        <w:rPr>
          <w:rFonts w:ascii="Verdana" w:eastAsiaTheme="minorHAnsi" w:hAnsi="Verdana" w:cstheme="minorBidi"/>
          <w:b/>
          <w:color w:val="auto"/>
          <w:sz w:val="20"/>
          <w:szCs w:val="20"/>
        </w:rPr>
        <w:t xml:space="preserve">bligation </w:t>
      </w:r>
      <w:r w:rsidR="002B773E" w:rsidRPr="003B60CC">
        <w:rPr>
          <w:rFonts w:ascii="Verdana" w:eastAsiaTheme="minorHAnsi" w:hAnsi="Verdana" w:cstheme="minorBidi"/>
          <w:b/>
          <w:color w:val="auto"/>
          <w:sz w:val="20"/>
          <w:szCs w:val="20"/>
        </w:rPr>
        <w:t>c</w:t>
      </w:r>
      <w:r w:rsidR="004E3647" w:rsidRPr="003B60CC">
        <w:rPr>
          <w:rFonts w:ascii="Verdana" w:eastAsiaTheme="minorHAnsi" w:hAnsi="Verdana" w:cstheme="minorBidi"/>
          <w:b/>
          <w:color w:val="auto"/>
          <w:sz w:val="20"/>
          <w:szCs w:val="20"/>
        </w:rPr>
        <w:t xml:space="preserve">ompleted </w:t>
      </w:r>
    </w:p>
    <w:p w14:paraId="171C624C" w14:textId="77777777" w:rsidR="004E3647" w:rsidRPr="003B60CC" w:rsidRDefault="004E3647" w:rsidP="004E3647">
      <w:pPr>
        <w:numPr>
          <w:ilvl w:val="1"/>
          <w:numId w:val="0"/>
        </w:numPr>
        <w:spacing w:line="276" w:lineRule="auto"/>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X%</w:t>
      </w:r>
      <w:r w:rsidRPr="003B60CC">
        <w:rPr>
          <w:rFonts w:ascii="Verdana" w:eastAsiaTheme="minorHAnsi" w:hAnsi="Verdana" w:cstheme="minorBidi"/>
          <w:color w:val="auto"/>
          <w:sz w:val="20"/>
          <w:szCs w:val="20"/>
        </w:rPr>
        <w:tab/>
        <w:t xml:space="preserve">- The percentage of </w:t>
      </w:r>
      <w:r w:rsidR="006A7CA3" w:rsidRPr="003B60CC">
        <w:rPr>
          <w:rFonts w:ascii="Verdana" w:eastAsiaTheme="minorHAnsi" w:hAnsi="Verdana" w:cstheme="minorBidi"/>
          <w:color w:val="auto"/>
          <w:sz w:val="20"/>
          <w:szCs w:val="20"/>
        </w:rPr>
        <w:t>risk assessme</w:t>
      </w:r>
      <w:r w:rsidR="00133263" w:rsidRPr="003B60CC">
        <w:rPr>
          <w:rFonts w:ascii="Verdana" w:eastAsiaTheme="minorHAnsi" w:hAnsi="Verdana" w:cstheme="minorBidi"/>
          <w:color w:val="auto"/>
          <w:sz w:val="20"/>
          <w:szCs w:val="20"/>
        </w:rPr>
        <w:t>n</w:t>
      </w:r>
      <w:r w:rsidR="006A7CA3" w:rsidRPr="003B60CC">
        <w:rPr>
          <w:rFonts w:ascii="Verdana" w:eastAsiaTheme="minorHAnsi" w:hAnsi="Verdana" w:cstheme="minorBidi"/>
          <w:color w:val="auto"/>
          <w:sz w:val="20"/>
          <w:szCs w:val="20"/>
        </w:rPr>
        <w:t xml:space="preserve">t </w:t>
      </w:r>
      <w:r w:rsidRPr="003B60CC">
        <w:rPr>
          <w:rFonts w:ascii="Verdana" w:eastAsiaTheme="minorHAnsi" w:hAnsi="Verdana" w:cstheme="minorBidi"/>
          <w:color w:val="auto"/>
          <w:sz w:val="20"/>
          <w:szCs w:val="20"/>
        </w:rPr>
        <w:t xml:space="preserve">work completed as measured against the agency’s </w:t>
      </w:r>
      <w:r w:rsidR="00133263" w:rsidRPr="003B60CC">
        <w:rPr>
          <w:rFonts w:ascii="Verdana" w:eastAsiaTheme="minorHAnsi" w:hAnsi="Verdana" w:cstheme="minorBidi"/>
          <w:color w:val="auto"/>
          <w:sz w:val="20"/>
          <w:szCs w:val="20"/>
        </w:rPr>
        <w:t>sensitive systems</w:t>
      </w:r>
      <w:r w:rsidRPr="003B60CC">
        <w:rPr>
          <w:rFonts w:ascii="Verdana" w:eastAsiaTheme="minorHAnsi" w:hAnsi="Verdana" w:cstheme="minorBidi"/>
          <w:color w:val="auto"/>
          <w:sz w:val="20"/>
          <w:szCs w:val="20"/>
        </w:rPr>
        <w:t xml:space="preserve"> over the past three years</w:t>
      </w:r>
    </w:p>
    <w:p w14:paraId="36F3AACB" w14:textId="77777777" w:rsidR="004A7638" w:rsidRPr="003B60CC" w:rsidRDefault="00766E88" w:rsidP="00A0502B">
      <w:pPr>
        <w:numPr>
          <w:ilvl w:val="1"/>
          <w:numId w:val="0"/>
        </w:numPr>
        <w:spacing w:line="276" w:lineRule="auto"/>
        <w:rPr>
          <w:rFonts w:eastAsiaTheme="minorHAnsi" w:cstheme="minorBidi"/>
          <w:color w:val="auto"/>
        </w:rPr>
      </w:pPr>
      <w:r w:rsidRPr="003B60CC">
        <w:rPr>
          <w:rFonts w:ascii="Verdana" w:eastAsiaTheme="minorHAnsi" w:hAnsi="Verdana" w:cstheme="minorBidi"/>
          <w:color w:val="auto"/>
          <w:sz w:val="20"/>
          <w:szCs w:val="20"/>
        </w:rPr>
        <w:t>N/A</w:t>
      </w:r>
      <w:r w:rsidRPr="003B60CC">
        <w:rPr>
          <w:rFonts w:ascii="Verdana" w:eastAsiaTheme="minorHAnsi" w:hAnsi="Verdana" w:cstheme="minorBidi"/>
          <w:color w:val="auto"/>
          <w:sz w:val="20"/>
          <w:szCs w:val="20"/>
        </w:rPr>
        <w:tab/>
        <w:t xml:space="preserve">- Not applicable as the agency had no </w:t>
      </w:r>
      <w:r w:rsidR="00133263" w:rsidRPr="003B60CC">
        <w:rPr>
          <w:rFonts w:ascii="Verdana" w:eastAsiaTheme="minorHAnsi" w:hAnsi="Verdana" w:cstheme="minorBidi"/>
          <w:color w:val="auto"/>
          <w:sz w:val="20"/>
          <w:szCs w:val="20"/>
        </w:rPr>
        <w:t xml:space="preserve">risk assessments </w:t>
      </w:r>
      <w:r w:rsidRPr="003B60CC">
        <w:rPr>
          <w:rFonts w:ascii="Verdana" w:eastAsiaTheme="minorHAnsi" w:hAnsi="Verdana" w:cstheme="minorBidi"/>
          <w:color w:val="auto"/>
          <w:sz w:val="20"/>
          <w:szCs w:val="20"/>
        </w:rPr>
        <w:t>due</w:t>
      </w:r>
    </w:p>
    <w:p w14:paraId="3CEBF587" w14:textId="77777777" w:rsidR="008E1E1C" w:rsidRPr="003B60CC" w:rsidRDefault="008E1E1C" w:rsidP="00A0502B">
      <w:pPr>
        <w:numPr>
          <w:ilvl w:val="1"/>
          <w:numId w:val="0"/>
        </w:numPr>
        <w:spacing w:line="276" w:lineRule="auto"/>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N/C</w:t>
      </w:r>
      <w:r w:rsidRPr="003B60CC">
        <w:rPr>
          <w:rFonts w:ascii="Verdana" w:eastAsiaTheme="minorHAnsi" w:hAnsi="Verdana" w:cstheme="minorBidi"/>
          <w:color w:val="auto"/>
          <w:sz w:val="20"/>
          <w:szCs w:val="20"/>
        </w:rPr>
        <w:tab/>
        <w:t>- The agency head has not submitted an audit plan</w:t>
      </w:r>
    </w:p>
    <w:p w14:paraId="75F7B433" w14:textId="77777777" w:rsidR="00B377E6" w:rsidRPr="003B60CC" w:rsidRDefault="00B377E6" w:rsidP="00B377E6">
      <w:pPr>
        <w:rPr>
          <w:rFonts w:ascii="Verdana" w:eastAsiaTheme="minorHAnsi" w:hAnsi="Verdana" w:cstheme="minorBidi"/>
          <w:b/>
          <w:color w:val="auto"/>
          <w:sz w:val="20"/>
          <w:szCs w:val="20"/>
        </w:rPr>
      </w:pPr>
    </w:p>
    <w:p w14:paraId="0793ACFA" w14:textId="46133AA3" w:rsidR="00B377E6" w:rsidRPr="003B60CC" w:rsidRDefault="00603A5B" w:rsidP="00B377E6">
      <w:pPr>
        <w:rPr>
          <w:rFonts w:ascii="Verdana" w:eastAsiaTheme="minorHAnsi" w:hAnsi="Verdana" w:cstheme="minorBidi"/>
          <w:b/>
          <w:color w:val="auto"/>
          <w:sz w:val="20"/>
          <w:szCs w:val="20"/>
        </w:rPr>
      </w:pPr>
      <w:r w:rsidRPr="003B60CC">
        <w:rPr>
          <w:rFonts w:ascii="Verdana" w:eastAsiaTheme="minorHAnsi" w:hAnsi="Verdana" w:cstheme="minorBidi"/>
          <w:b/>
          <w:color w:val="auto"/>
          <w:sz w:val="20"/>
          <w:szCs w:val="20"/>
        </w:rPr>
        <w:t>2018</w:t>
      </w:r>
      <w:r w:rsidR="00B377E6" w:rsidRPr="003B60CC">
        <w:rPr>
          <w:rFonts w:ascii="Verdana" w:eastAsiaTheme="minorHAnsi" w:hAnsi="Verdana" w:cstheme="minorBidi"/>
          <w:b/>
          <w:color w:val="auto"/>
          <w:sz w:val="20"/>
          <w:szCs w:val="20"/>
        </w:rPr>
        <w:t xml:space="preserve"> </w:t>
      </w:r>
      <w:r w:rsidR="002B773E" w:rsidRPr="003B60CC">
        <w:rPr>
          <w:rFonts w:ascii="Verdana" w:eastAsiaTheme="minorHAnsi" w:hAnsi="Verdana" w:cstheme="minorBidi"/>
          <w:b/>
          <w:color w:val="auto"/>
          <w:sz w:val="20"/>
          <w:szCs w:val="20"/>
        </w:rPr>
        <w:t>b</w:t>
      </w:r>
      <w:r w:rsidR="00B377E6" w:rsidRPr="003B60CC">
        <w:rPr>
          <w:rFonts w:ascii="Verdana" w:eastAsiaTheme="minorHAnsi" w:hAnsi="Verdana" w:cstheme="minorBidi"/>
          <w:b/>
          <w:color w:val="auto"/>
          <w:sz w:val="20"/>
          <w:szCs w:val="20"/>
        </w:rPr>
        <w:t xml:space="preserve">usiness </w:t>
      </w:r>
      <w:r w:rsidR="002B773E" w:rsidRPr="003B60CC">
        <w:rPr>
          <w:rFonts w:ascii="Verdana" w:eastAsiaTheme="minorHAnsi" w:hAnsi="Verdana" w:cstheme="minorBidi"/>
          <w:b/>
          <w:color w:val="auto"/>
          <w:sz w:val="20"/>
          <w:szCs w:val="20"/>
        </w:rPr>
        <w:t>i</w:t>
      </w:r>
      <w:r w:rsidR="00B377E6" w:rsidRPr="003B60CC">
        <w:rPr>
          <w:rFonts w:ascii="Verdana" w:eastAsiaTheme="minorHAnsi" w:hAnsi="Verdana" w:cstheme="minorBidi"/>
          <w:b/>
          <w:color w:val="auto"/>
          <w:sz w:val="20"/>
          <w:szCs w:val="20"/>
        </w:rPr>
        <w:t xml:space="preserve">mpact </w:t>
      </w:r>
      <w:r w:rsidR="002B773E" w:rsidRPr="003B60CC">
        <w:rPr>
          <w:rFonts w:ascii="Verdana" w:eastAsiaTheme="minorHAnsi" w:hAnsi="Verdana" w:cstheme="minorBidi"/>
          <w:b/>
          <w:color w:val="auto"/>
          <w:sz w:val="20"/>
          <w:szCs w:val="20"/>
        </w:rPr>
        <w:t>a</w:t>
      </w:r>
      <w:r w:rsidR="00B377E6" w:rsidRPr="003B60CC">
        <w:rPr>
          <w:rFonts w:ascii="Verdana" w:eastAsiaTheme="minorHAnsi" w:hAnsi="Verdana" w:cstheme="minorBidi"/>
          <w:b/>
          <w:color w:val="auto"/>
          <w:sz w:val="20"/>
          <w:szCs w:val="20"/>
        </w:rPr>
        <w:t xml:space="preserve">nalysis </w:t>
      </w:r>
      <w:r w:rsidR="002B773E" w:rsidRPr="003B60CC">
        <w:rPr>
          <w:rFonts w:ascii="Verdana" w:eastAsiaTheme="minorHAnsi" w:hAnsi="Verdana" w:cstheme="minorBidi"/>
          <w:b/>
          <w:color w:val="auto"/>
          <w:sz w:val="20"/>
          <w:szCs w:val="20"/>
        </w:rPr>
        <w:t>s</w:t>
      </w:r>
      <w:r w:rsidR="00B377E6" w:rsidRPr="003B60CC">
        <w:rPr>
          <w:rFonts w:ascii="Verdana" w:eastAsiaTheme="minorHAnsi" w:hAnsi="Verdana" w:cstheme="minorBidi"/>
          <w:b/>
          <w:color w:val="auto"/>
          <w:sz w:val="20"/>
          <w:szCs w:val="20"/>
        </w:rPr>
        <w:t>tatus</w:t>
      </w:r>
    </w:p>
    <w:p w14:paraId="475FAD7D" w14:textId="77777777" w:rsidR="00B377E6" w:rsidRPr="003B60CC" w:rsidRDefault="00B377E6" w:rsidP="00B377E6">
      <w:pPr>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Pass</w:t>
      </w:r>
      <w:r w:rsidRPr="003B60CC">
        <w:rPr>
          <w:rFonts w:ascii="Verdana" w:eastAsiaTheme="minorHAnsi" w:hAnsi="Verdana" w:cstheme="minorBidi"/>
          <w:color w:val="auto"/>
          <w:sz w:val="20"/>
          <w:szCs w:val="20"/>
        </w:rPr>
        <w:tab/>
      </w:r>
      <w:r w:rsidRPr="003B60CC">
        <w:rPr>
          <w:rFonts w:ascii="Verdana" w:eastAsiaTheme="minorHAnsi" w:hAnsi="Verdana" w:cstheme="minorBidi"/>
          <w:color w:val="auto"/>
          <w:sz w:val="20"/>
          <w:szCs w:val="20"/>
        </w:rPr>
        <w:tab/>
        <w:t>- All documentation received as requested</w:t>
      </w:r>
    </w:p>
    <w:p w14:paraId="3C8F825E" w14:textId="77777777" w:rsidR="00B377E6" w:rsidRPr="003B60CC" w:rsidRDefault="00B377E6" w:rsidP="00B377E6">
      <w:pPr>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Incomplete</w:t>
      </w:r>
      <w:r w:rsidRPr="003B60CC">
        <w:rPr>
          <w:rFonts w:ascii="Verdana" w:eastAsiaTheme="minorHAnsi" w:hAnsi="Verdana" w:cstheme="minorBidi"/>
          <w:color w:val="auto"/>
          <w:sz w:val="20"/>
          <w:szCs w:val="20"/>
        </w:rPr>
        <w:tab/>
        <w:t xml:space="preserve">- Documentation received, but incomplete   </w:t>
      </w:r>
    </w:p>
    <w:p w14:paraId="68892C3C" w14:textId="77777777" w:rsidR="00B377E6" w:rsidRPr="003B60CC" w:rsidRDefault="00B377E6" w:rsidP="00B377E6">
      <w:pPr>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N/C</w:t>
      </w:r>
      <w:r w:rsidRPr="003B60CC">
        <w:rPr>
          <w:rFonts w:ascii="Verdana" w:eastAsiaTheme="minorHAnsi" w:hAnsi="Verdana" w:cstheme="minorBidi"/>
          <w:color w:val="auto"/>
          <w:sz w:val="20"/>
          <w:szCs w:val="20"/>
        </w:rPr>
        <w:tab/>
      </w:r>
      <w:r w:rsidRPr="003B60CC">
        <w:rPr>
          <w:rFonts w:ascii="Verdana" w:eastAsiaTheme="minorHAnsi" w:hAnsi="Verdana" w:cstheme="minorBidi"/>
          <w:color w:val="auto"/>
          <w:sz w:val="20"/>
          <w:szCs w:val="20"/>
        </w:rPr>
        <w:tab/>
        <w:t xml:space="preserve">- Documentation was not submitted </w:t>
      </w:r>
    </w:p>
    <w:p w14:paraId="3AC8FF70" w14:textId="77777777" w:rsidR="00B377E6" w:rsidRPr="003B60CC" w:rsidRDefault="00B377E6" w:rsidP="00D827EE">
      <w:pPr>
        <w:rPr>
          <w:rFonts w:ascii="Verdana" w:eastAsiaTheme="minorHAnsi" w:hAnsi="Verdana" w:cstheme="minorBidi"/>
          <w:b/>
          <w:color w:val="auto"/>
          <w:sz w:val="20"/>
          <w:szCs w:val="20"/>
        </w:rPr>
      </w:pPr>
    </w:p>
    <w:p w14:paraId="4BFC4FB7" w14:textId="580C9945" w:rsidR="00B377E6" w:rsidRPr="003B60CC" w:rsidRDefault="00B377E6" w:rsidP="00D827EE">
      <w:pPr>
        <w:rPr>
          <w:rFonts w:ascii="Verdana" w:eastAsiaTheme="minorHAnsi" w:hAnsi="Verdana" w:cstheme="minorBidi"/>
          <w:b/>
          <w:color w:val="auto"/>
          <w:sz w:val="20"/>
          <w:szCs w:val="20"/>
        </w:rPr>
      </w:pPr>
      <w:r w:rsidRPr="003B60CC">
        <w:rPr>
          <w:rFonts w:ascii="Verdana" w:eastAsiaTheme="minorHAnsi" w:hAnsi="Verdana" w:cstheme="minorBidi"/>
          <w:b/>
          <w:color w:val="auto"/>
          <w:sz w:val="20"/>
          <w:szCs w:val="20"/>
        </w:rPr>
        <w:t xml:space="preserve">IDS </w:t>
      </w:r>
      <w:r w:rsidR="002B773E" w:rsidRPr="003B60CC">
        <w:rPr>
          <w:rFonts w:ascii="Verdana" w:eastAsiaTheme="minorHAnsi" w:hAnsi="Verdana" w:cstheme="minorBidi"/>
          <w:b/>
          <w:color w:val="auto"/>
          <w:sz w:val="20"/>
          <w:szCs w:val="20"/>
        </w:rPr>
        <w:t>q</w:t>
      </w:r>
      <w:r w:rsidRPr="003B60CC">
        <w:rPr>
          <w:rFonts w:ascii="Verdana" w:eastAsiaTheme="minorHAnsi" w:hAnsi="Verdana" w:cstheme="minorBidi"/>
          <w:b/>
          <w:color w:val="auto"/>
          <w:sz w:val="20"/>
          <w:szCs w:val="20"/>
        </w:rPr>
        <w:t xml:space="preserve">uarterly </w:t>
      </w:r>
      <w:r w:rsidR="002B773E" w:rsidRPr="003B60CC">
        <w:rPr>
          <w:rFonts w:ascii="Verdana" w:eastAsiaTheme="minorHAnsi" w:hAnsi="Verdana" w:cstheme="minorBidi"/>
          <w:b/>
          <w:color w:val="auto"/>
          <w:sz w:val="20"/>
          <w:szCs w:val="20"/>
        </w:rPr>
        <w:t>r</w:t>
      </w:r>
      <w:r w:rsidRPr="003B60CC">
        <w:rPr>
          <w:rFonts w:ascii="Verdana" w:eastAsiaTheme="minorHAnsi" w:hAnsi="Verdana" w:cstheme="minorBidi"/>
          <w:b/>
          <w:color w:val="auto"/>
          <w:sz w:val="20"/>
          <w:szCs w:val="20"/>
        </w:rPr>
        <w:t>eports</w:t>
      </w:r>
    </w:p>
    <w:p w14:paraId="08A85AB5" w14:textId="77777777" w:rsidR="00B377E6" w:rsidRPr="003B60CC" w:rsidRDefault="00B377E6" w:rsidP="00B377E6">
      <w:pPr>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Pass</w:t>
      </w:r>
      <w:r w:rsidRPr="003B60CC">
        <w:rPr>
          <w:rFonts w:ascii="Verdana" w:eastAsiaTheme="minorHAnsi" w:hAnsi="Verdana" w:cstheme="minorBidi"/>
          <w:color w:val="auto"/>
          <w:sz w:val="20"/>
          <w:szCs w:val="20"/>
        </w:rPr>
        <w:tab/>
      </w:r>
      <w:r w:rsidRPr="003B60CC">
        <w:rPr>
          <w:rFonts w:ascii="Verdana" w:eastAsiaTheme="minorHAnsi" w:hAnsi="Verdana" w:cstheme="minorBidi"/>
          <w:color w:val="auto"/>
          <w:sz w:val="20"/>
          <w:szCs w:val="20"/>
        </w:rPr>
        <w:tab/>
        <w:t>- Documents received as scheduled</w:t>
      </w:r>
    </w:p>
    <w:p w14:paraId="3DAC7A24" w14:textId="6DF57F61" w:rsidR="00B377E6" w:rsidRPr="003B60CC" w:rsidRDefault="00B377E6" w:rsidP="00B377E6">
      <w:pPr>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N/C</w:t>
      </w:r>
      <w:r w:rsidRPr="003B60CC">
        <w:rPr>
          <w:rFonts w:ascii="Verdana" w:eastAsiaTheme="minorHAnsi" w:hAnsi="Verdana" w:cstheme="minorBidi"/>
          <w:color w:val="auto"/>
          <w:sz w:val="20"/>
          <w:szCs w:val="20"/>
        </w:rPr>
        <w:tab/>
      </w:r>
      <w:r w:rsidRPr="003B60CC">
        <w:rPr>
          <w:rFonts w:ascii="Verdana" w:eastAsiaTheme="minorHAnsi" w:hAnsi="Verdana" w:cstheme="minorBidi"/>
          <w:color w:val="auto"/>
          <w:sz w:val="20"/>
          <w:szCs w:val="20"/>
        </w:rPr>
        <w:tab/>
        <w:t>- Reports were not received</w:t>
      </w:r>
    </w:p>
    <w:p w14:paraId="565D1000" w14:textId="77777777" w:rsidR="00B377E6" w:rsidRPr="003B60CC" w:rsidRDefault="00B377E6" w:rsidP="00D827EE">
      <w:pPr>
        <w:rPr>
          <w:rFonts w:ascii="Verdana" w:eastAsiaTheme="minorHAnsi" w:hAnsi="Verdana" w:cstheme="minorBidi"/>
          <w:b/>
          <w:color w:val="auto"/>
          <w:sz w:val="20"/>
          <w:szCs w:val="20"/>
        </w:rPr>
      </w:pPr>
    </w:p>
    <w:p w14:paraId="4B3BAAD0" w14:textId="7CE240EE" w:rsidR="00B377E6" w:rsidRPr="003B60CC" w:rsidRDefault="00B377E6" w:rsidP="00D827EE">
      <w:pPr>
        <w:rPr>
          <w:rFonts w:ascii="Verdana" w:eastAsiaTheme="minorHAnsi" w:hAnsi="Verdana" w:cstheme="minorBidi"/>
          <w:b/>
          <w:color w:val="auto"/>
          <w:sz w:val="20"/>
          <w:szCs w:val="20"/>
        </w:rPr>
      </w:pPr>
      <w:r w:rsidRPr="003B60CC">
        <w:rPr>
          <w:rFonts w:ascii="Verdana" w:eastAsiaTheme="minorHAnsi" w:hAnsi="Verdana" w:cstheme="minorBidi"/>
          <w:b/>
          <w:color w:val="auto"/>
          <w:sz w:val="20"/>
          <w:szCs w:val="20"/>
        </w:rPr>
        <w:t xml:space="preserve">Data </w:t>
      </w:r>
      <w:r w:rsidR="002B773E" w:rsidRPr="003B60CC">
        <w:rPr>
          <w:rFonts w:ascii="Verdana" w:eastAsiaTheme="minorHAnsi" w:hAnsi="Verdana" w:cstheme="minorBidi"/>
          <w:b/>
          <w:color w:val="auto"/>
          <w:sz w:val="20"/>
          <w:szCs w:val="20"/>
        </w:rPr>
        <w:t>s</w:t>
      </w:r>
      <w:r w:rsidRPr="003B60CC">
        <w:rPr>
          <w:rFonts w:ascii="Verdana" w:eastAsiaTheme="minorHAnsi" w:hAnsi="Verdana" w:cstheme="minorBidi"/>
          <w:b/>
          <w:color w:val="auto"/>
          <w:sz w:val="20"/>
          <w:szCs w:val="20"/>
        </w:rPr>
        <w:t xml:space="preserve">et </w:t>
      </w:r>
      <w:r w:rsidR="002B773E" w:rsidRPr="003B60CC">
        <w:rPr>
          <w:rFonts w:ascii="Verdana" w:eastAsiaTheme="minorHAnsi" w:hAnsi="Verdana" w:cstheme="minorBidi"/>
          <w:b/>
          <w:color w:val="auto"/>
          <w:sz w:val="20"/>
          <w:szCs w:val="20"/>
        </w:rPr>
        <w:t>i</w:t>
      </w:r>
      <w:r w:rsidRPr="003B60CC">
        <w:rPr>
          <w:rFonts w:ascii="Verdana" w:eastAsiaTheme="minorHAnsi" w:hAnsi="Verdana" w:cstheme="minorBidi"/>
          <w:b/>
          <w:color w:val="auto"/>
          <w:sz w:val="20"/>
          <w:szCs w:val="20"/>
        </w:rPr>
        <w:t>nventory</w:t>
      </w:r>
    </w:p>
    <w:p w14:paraId="55E5F28C" w14:textId="6248D347" w:rsidR="00B377E6" w:rsidRPr="003B60CC" w:rsidRDefault="00B377E6" w:rsidP="00B377E6">
      <w:pPr>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Compliant</w:t>
      </w:r>
      <w:r w:rsidRPr="003B60CC">
        <w:rPr>
          <w:rFonts w:ascii="Verdana" w:eastAsiaTheme="minorHAnsi" w:hAnsi="Verdana" w:cstheme="minorBidi"/>
          <w:color w:val="auto"/>
          <w:sz w:val="20"/>
          <w:szCs w:val="20"/>
        </w:rPr>
        <w:tab/>
        <w:t>- Data set information was provided</w:t>
      </w:r>
    </w:p>
    <w:p w14:paraId="7196C404" w14:textId="1DAAB197" w:rsidR="00B377E6" w:rsidRPr="003B60CC" w:rsidRDefault="00B377E6" w:rsidP="00B377E6">
      <w:pPr>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Non-Compliant- Data set information was not provided fully</w:t>
      </w:r>
    </w:p>
    <w:p w14:paraId="780D0242" w14:textId="77777777" w:rsidR="00B377E6" w:rsidRPr="003B60CC" w:rsidRDefault="00B377E6" w:rsidP="00D827EE">
      <w:pPr>
        <w:rPr>
          <w:rFonts w:ascii="Verdana" w:eastAsiaTheme="minorHAnsi" w:hAnsi="Verdana" w:cstheme="minorBidi"/>
          <w:b/>
          <w:color w:val="auto"/>
          <w:sz w:val="20"/>
          <w:szCs w:val="20"/>
        </w:rPr>
      </w:pPr>
    </w:p>
    <w:p w14:paraId="024DD7B7" w14:textId="088A74D3" w:rsidR="00D827EE" w:rsidRPr="003B60CC" w:rsidRDefault="00D827EE" w:rsidP="00D827EE">
      <w:pPr>
        <w:rPr>
          <w:rFonts w:ascii="Verdana" w:eastAsiaTheme="minorHAnsi" w:hAnsi="Verdana" w:cstheme="minorBidi"/>
          <w:b/>
          <w:color w:val="auto"/>
          <w:sz w:val="20"/>
          <w:szCs w:val="20"/>
        </w:rPr>
      </w:pPr>
      <w:r w:rsidRPr="003B60CC">
        <w:rPr>
          <w:rFonts w:ascii="Verdana" w:eastAsiaTheme="minorHAnsi" w:hAnsi="Verdana" w:cstheme="minorBidi"/>
          <w:b/>
          <w:color w:val="auto"/>
          <w:sz w:val="20"/>
          <w:szCs w:val="20"/>
        </w:rPr>
        <w:t>IS</w:t>
      </w:r>
      <w:r w:rsidR="00B377E6" w:rsidRPr="003B60CC">
        <w:rPr>
          <w:rFonts w:ascii="Verdana" w:eastAsiaTheme="minorHAnsi" w:hAnsi="Verdana" w:cstheme="minorBidi"/>
          <w:b/>
          <w:color w:val="auto"/>
          <w:sz w:val="20"/>
          <w:szCs w:val="20"/>
        </w:rPr>
        <w:t xml:space="preserve">O </w:t>
      </w:r>
      <w:r w:rsidR="002B773E" w:rsidRPr="003B60CC">
        <w:rPr>
          <w:rFonts w:ascii="Verdana" w:eastAsiaTheme="minorHAnsi" w:hAnsi="Verdana" w:cstheme="minorBidi"/>
          <w:b/>
          <w:color w:val="auto"/>
          <w:sz w:val="20"/>
          <w:szCs w:val="20"/>
        </w:rPr>
        <w:t>c</w:t>
      </w:r>
      <w:r w:rsidR="00B377E6" w:rsidRPr="003B60CC">
        <w:rPr>
          <w:rFonts w:ascii="Verdana" w:eastAsiaTheme="minorHAnsi" w:hAnsi="Verdana" w:cstheme="minorBidi"/>
          <w:b/>
          <w:color w:val="auto"/>
          <w:sz w:val="20"/>
          <w:szCs w:val="20"/>
        </w:rPr>
        <w:t xml:space="preserve">ertification </w:t>
      </w:r>
      <w:r w:rsidR="002B773E" w:rsidRPr="003B60CC">
        <w:rPr>
          <w:rFonts w:ascii="Verdana" w:eastAsiaTheme="minorHAnsi" w:hAnsi="Verdana" w:cstheme="minorBidi"/>
          <w:b/>
          <w:color w:val="auto"/>
          <w:sz w:val="20"/>
          <w:szCs w:val="20"/>
        </w:rPr>
        <w:t>s</w:t>
      </w:r>
      <w:r w:rsidR="00B377E6" w:rsidRPr="003B60CC">
        <w:rPr>
          <w:rFonts w:ascii="Verdana" w:eastAsiaTheme="minorHAnsi" w:hAnsi="Verdana" w:cstheme="minorBidi"/>
          <w:b/>
          <w:color w:val="auto"/>
          <w:sz w:val="20"/>
          <w:szCs w:val="20"/>
        </w:rPr>
        <w:t xml:space="preserve">tatus </w:t>
      </w:r>
    </w:p>
    <w:p w14:paraId="7F592D04" w14:textId="77777777" w:rsidR="00D827EE" w:rsidRPr="003B60CC" w:rsidRDefault="00D827EE" w:rsidP="00D827EE">
      <w:pPr>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Pass</w:t>
      </w:r>
      <w:r w:rsidRPr="003B60CC">
        <w:rPr>
          <w:rFonts w:ascii="Verdana" w:eastAsiaTheme="minorHAnsi" w:hAnsi="Verdana" w:cstheme="minorBidi"/>
          <w:color w:val="auto"/>
          <w:sz w:val="20"/>
          <w:szCs w:val="20"/>
        </w:rPr>
        <w:tab/>
      </w:r>
      <w:r w:rsidRPr="003B60CC">
        <w:rPr>
          <w:rFonts w:ascii="Verdana" w:eastAsiaTheme="minorHAnsi" w:hAnsi="Verdana" w:cstheme="minorBidi"/>
          <w:color w:val="auto"/>
          <w:sz w:val="20"/>
          <w:szCs w:val="20"/>
        </w:rPr>
        <w:tab/>
        <w:t xml:space="preserve">- The primary ISO is certified </w:t>
      </w:r>
    </w:p>
    <w:p w14:paraId="1B20F2BC" w14:textId="77777777" w:rsidR="00D827EE" w:rsidRPr="003B60CC" w:rsidRDefault="00D827EE" w:rsidP="00B377E6">
      <w:pPr>
        <w:ind w:left="1440" w:hanging="1440"/>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 xml:space="preserve">Incomplete </w:t>
      </w:r>
      <w:r w:rsidRPr="003B60CC">
        <w:rPr>
          <w:rFonts w:ascii="Verdana" w:eastAsiaTheme="minorHAnsi" w:hAnsi="Verdana" w:cstheme="minorBidi"/>
          <w:color w:val="auto"/>
          <w:sz w:val="20"/>
          <w:szCs w:val="20"/>
        </w:rPr>
        <w:tab/>
        <w:t>- The ISO met all other requirements but did not attend the mandatory ISOAG meeting</w:t>
      </w:r>
    </w:p>
    <w:p w14:paraId="5A0CDF80" w14:textId="77777777" w:rsidR="00D827EE" w:rsidRPr="003B60CC" w:rsidRDefault="00D827EE" w:rsidP="00D827EE">
      <w:pPr>
        <w:rPr>
          <w:rFonts w:ascii="Verdana" w:eastAsiaTheme="minorHAnsi" w:hAnsi="Verdana" w:cstheme="minorBidi"/>
          <w:color w:val="auto"/>
          <w:sz w:val="20"/>
          <w:szCs w:val="20"/>
        </w:rPr>
      </w:pPr>
      <w:r w:rsidRPr="003B60CC">
        <w:rPr>
          <w:rFonts w:ascii="Verdana" w:eastAsiaTheme="minorHAnsi" w:hAnsi="Verdana" w:cstheme="minorBidi"/>
          <w:color w:val="auto"/>
          <w:sz w:val="20"/>
          <w:szCs w:val="20"/>
        </w:rPr>
        <w:t>N/C</w:t>
      </w:r>
      <w:r w:rsidRPr="003B60CC">
        <w:rPr>
          <w:rFonts w:ascii="Verdana" w:eastAsiaTheme="minorHAnsi" w:hAnsi="Verdana" w:cstheme="minorBidi"/>
          <w:color w:val="auto"/>
          <w:sz w:val="20"/>
          <w:szCs w:val="20"/>
        </w:rPr>
        <w:tab/>
        <w:t xml:space="preserve"> </w:t>
      </w:r>
      <w:r w:rsidRPr="003B60CC">
        <w:rPr>
          <w:rFonts w:ascii="Verdana" w:eastAsiaTheme="minorHAnsi" w:hAnsi="Verdana" w:cstheme="minorBidi"/>
          <w:color w:val="auto"/>
          <w:sz w:val="20"/>
          <w:szCs w:val="20"/>
        </w:rPr>
        <w:tab/>
        <w:t>- The primary ISO is NOT certified</w:t>
      </w:r>
    </w:p>
    <w:p w14:paraId="658753D3" w14:textId="77777777" w:rsidR="0067666C" w:rsidRPr="003B60CC" w:rsidRDefault="0067666C" w:rsidP="00AC218D">
      <w:pPr>
        <w:jc w:val="center"/>
        <w:rPr>
          <w:rFonts w:ascii="Verdana" w:hAnsi="Verdana" w:cs="Calibri"/>
          <w:b/>
          <w:bCs/>
          <w:sz w:val="16"/>
          <w:szCs w:val="16"/>
        </w:rPr>
      </w:pPr>
    </w:p>
    <w:p w14:paraId="409CB0D0" w14:textId="77777777" w:rsidR="0067666C" w:rsidRPr="00377362" w:rsidRDefault="0067666C" w:rsidP="00AC218D">
      <w:pPr>
        <w:jc w:val="center"/>
        <w:rPr>
          <w:rFonts w:ascii="Verdana" w:hAnsi="Verdana" w:cs="Calibri"/>
          <w:b/>
          <w:bCs/>
          <w:sz w:val="16"/>
          <w:szCs w:val="16"/>
          <w:highlight w:val="yellow"/>
        </w:rPr>
      </w:pPr>
    </w:p>
    <w:p w14:paraId="5637FCF8" w14:textId="77777777" w:rsidR="0067666C" w:rsidRPr="00377362" w:rsidRDefault="0067666C" w:rsidP="00AC218D">
      <w:pPr>
        <w:jc w:val="center"/>
        <w:rPr>
          <w:rFonts w:ascii="Verdana" w:hAnsi="Verdana" w:cs="Calibri"/>
          <w:b/>
          <w:bCs/>
          <w:sz w:val="16"/>
          <w:szCs w:val="16"/>
          <w:highlight w:val="yellow"/>
        </w:rPr>
      </w:pPr>
    </w:p>
    <w:p w14:paraId="3CF09507" w14:textId="77777777" w:rsidR="0067666C" w:rsidRPr="00377362" w:rsidRDefault="0067666C" w:rsidP="00AC218D">
      <w:pPr>
        <w:jc w:val="center"/>
        <w:rPr>
          <w:rFonts w:ascii="Verdana" w:hAnsi="Verdana" w:cs="Calibri"/>
          <w:b/>
          <w:bCs/>
          <w:sz w:val="16"/>
          <w:szCs w:val="16"/>
          <w:highlight w:val="yellow"/>
        </w:rPr>
        <w:sectPr w:rsidR="0067666C" w:rsidRPr="00377362" w:rsidSect="0067666C">
          <w:type w:val="continuous"/>
          <w:pgSz w:w="15840" w:h="12240" w:orient="landscape" w:code="1"/>
          <w:pgMar w:top="720" w:right="720" w:bottom="720" w:left="720" w:header="720" w:footer="720" w:gutter="0"/>
          <w:cols w:num="2" w:space="720"/>
          <w:docGrid w:linePitch="360"/>
        </w:sectPr>
      </w:pPr>
    </w:p>
    <w:tbl>
      <w:tblPr>
        <w:tblStyle w:val="TableGrid1"/>
        <w:tblW w:w="5000" w:type="pct"/>
        <w:tblLook w:val="04A0" w:firstRow="1" w:lastRow="0" w:firstColumn="1" w:lastColumn="0" w:noHBand="0" w:noVBand="1"/>
      </w:tblPr>
      <w:tblGrid>
        <w:gridCol w:w="2979"/>
        <w:gridCol w:w="995"/>
        <w:gridCol w:w="1962"/>
        <w:gridCol w:w="629"/>
        <w:gridCol w:w="594"/>
        <w:gridCol w:w="942"/>
        <w:gridCol w:w="705"/>
        <w:gridCol w:w="694"/>
        <w:gridCol w:w="711"/>
        <w:gridCol w:w="694"/>
        <w:gridCol w:w="758"/>
        <w:gridCol w:w="714"/>
        <w:gridCol w:w="576"/>
        <w:gridCol w:w="969"/>
        <w:gridCol w:w="694"/>
      </w:tblGrid>
      <w:tr w:rsidR="00A9394E" w:rsidRPr="003B60CC" w14:paraId="4B2B5D56" w14:textId="77777777" w:rsidTr="003B60CC">
        <w:trPr>
          <w:cantSplit/>
          <w:trHeight w:val="1620"/>
          <w:tblHeader/>
        </w:trPr>
        <w:tc>
          <w:tcPr>
            <w:tcW w:w="1023" w:type="pct"/>
            <w:shd w:val="clear" w:color="auto" w:fill="D9D9D9" w:themeFill="background1" w:themeFillShade="D9"/>
            <w:noWrap/>
            <w:textDirection w:val="btLr"/>
            <w:vAlign w:val="center"/>
            <w:hideMark/>
          </w:tcPr>
          <w:p w14:paraId="22FEEA4C" w14:textId="495E6DA7" w:rsidR="00A9394E" w:rsidRPr="003B60CC" w:rsidRDefault="00CB21CF" w:rsidP="003B60CC">
            <w:pPr>
              <w:ind w:left="113" w:right="113"/>
              <w:jc w:val="center"/>
              <w:rPr>
                <w:rFonts w:ascii="Verdana" w:hAnsi="Verdana" w:cs="Calibri"/>
                <w:bCs/>
                <w:sz w:val="16"/>
                <w:szCs w:val="16"/>
              </w:rPr>
            </w:pPr>
            <w:r w:rsidRPr="003B60CC">
              <w:rPr>
                <w:rFonts w:ascii="Verdana" w:hAnsi="Verdana" w:cs="Calibri"/>
                <w:bCs/>
                <w:sz w:val="16"/>
                <w:szCs w:val="16"/>
              </w:rPr>
              <w:t>Agency Secretariat</w:t>
            </w:r>
          </w:p>
        </w:tc>
        <w:tc>
          <w:tcPr>
            <w:tcW w:w="344" w:type="pct"/>
            <w:shd w:val="clear" w:color="auto" w:fill="D9D9D9" w:themeFill="background1" w:themeFillShade="D9"/>
            <w:textDirection w:val="btLr"/>
            <w:vAlign w:val="center"/>
            <w:hideMark/>
          </w:tcPr>
          <w:p w14:paraId="286F2E5E" w14:textId="3C68DA45" w:rsidR="00A9394E" w:rsidRPr="003B60CC" w:rsidRDefault="00CB21CF" w:rsidP="003B60CC">
            <w:pPr>
              <w:ind w:left="113" w:right="113"/>
              <w:jc w:val="center"/>
              <w:rPr>
                <w:rFonts w:ascii="Verdana" w:hAnsi="Verdana" w:cs="Calibri"/>
                <w:bCs/>
                <w:sz w:val="16"/>
                <w:szCs w:val="16"/>
              </w:rPr>
            </w:pPr>
            <w:r w:rsidRPr="003B60CC">
              <w:rPr>
                <w:rFonts w:ascii="Verdana" w:hAnsi="Verdana" w:cs="Calibri"/>
                <w:bCs/>
                <w:sz w:val="16"/>
                <w:szCs w:val="16"/>
              </w:rPr>
              <w:t>Agency Acronym</w:t>
            </w:r>
          </w:p>
        </w:tc>
        <w:tc>
          <w:tcPr>
            <w:tcW w:w="675" w:type="pct"/>
            <w:shd w:val="clear" w:color="auto" w:fill="D9D9D9" w:themeFill="background1" w:themeFillShade="D9"/>
            <w:textDirection w:val="btLr"/>
            <w:vAlign w:val="center"/>
            <w:hideMark/>
          </w:tcPr>
          <w:p w14:paraId="4C528DEF" w14:textId="5EFEA71A" w:rsidR="00A9394E" w:rsidRPr="003B60CC" w:rsidRDefault="00CB21CF" w:rsidP="003B60CC">
            <w:pPr>
              <w:ind w:left="113" w:right="113"/>
              <w:jc w:val="center"/>
              <w:rPr>
                <w:rFonts w:ascii="Verdana" w:hAnsi="Verdana" w:cs="Calibri"/>
                <w:bCs/>
                <w:sz w:val="16"/>
                <w:szCs w:val="16"/>
              </w:rPr>
            </w:pPr>
            <w:r w:rsidRPr="003B60CC">
              <w:rPr>
                <w:rFonts w:ascii="Verdana" w:hAnsi="Verdana" w:cs="Calibri"/>
                <w:bCs/>
                <w:sz w:val="16"/>
                <w:szCs w:val="16"/>
              </w:rPr>
              <w:t>Agency Name</w:t>
            </w:r>
          </w:p>
        </w:tc>
        <w:tc>
          <w:tcPr>
            <w:tcW w:w="219" w:type="pct"/>
            <w:shd w:val="clear" w:color="auto" w:fill="D9D9D9" w:themeFill="background1" w:themeFillShade="D9"/>
            <w:textDirection w:val="btLr"/>
            <w:vAlign w:val="center"/>
            <w:hideMark/>
          </w:tcPr>
          <w:p w14:paraId="161BF619" w14:textId="7535C555" w:rsidR="00A9394E" w:rsidRPr="003B60CC" w:rsidRDefault="00CB21CF" w:rsidP="003B60CC">
            <w:pPr>
              <w:ind w:left="113" w:right="113"/>
              <w:jc w:val="center"/>
              <w:rPr>
                <w:rFonts w:ascii="Verdana" w:hAnsi="Verdana" w:cs="Calibri"/>
                <w:bCs/>
                <w:sz w:val="16"/>
                <w:szCs w:val="16"/>
              </w:rPr>
            </w:pPr>
            <w:r w:rsidRPr="003B60CC">
              <w:rPr>
                <w:rFonts w:ascii="Verdana" w:hAnsi="Verdana" w:cs="Calibri"/>
                <w:bCs/>
                <w:sz w:val="16"/>
                <w:szCs w:val="16"/>
              </w:rPr>
              <w:t xml:space="preserve">Vita </w:t>
            </w:r>
            <w:r>
              <w:rPr>
                <w:rFonts w:ascii="Verdana" w:hAnsi="Verdana" w:cs="Calibri"/>
                <w:bCs/>
                <w:sz w:val="16"/>
                <w:szCs w:val="16"/>
              </w:rPr>
              <w:t>ISO</w:t>
            </w:r>
            <w:r w:rsidRPr="003B60CC">
              <w:rPr>
                <w:rFonts w:ascii="Verdana" w:hAnsi="Verdana" w:cs="Calibri"/>
                <w:bCs/>
                <w:sz w:val="16"/>
                <w:szCs w:val="16"/>
              </w:rPr>
              <w:t xml:space="preserve"> Services Agency</w:t>
            </w:r>
          </w:p>
        </w:tc>
        <w:tc>
          <w:tcPr>
            <w:tcW w:w="207" w:type="pct"/>
            <w:shd w:val="clear" w:color="auto" w:fill="D9D9D9" w:themeFill="background1" w:themeFillShade="D9"/>
            <w:textDirection w:val="btLr"/>
            <w:vAlign w:val="center"/>
            <w:hideMark/>
          </w:tcPr>
          <w:p w14:paraId="49BCE29D" w14:textId="2AE04F6E" w:rsidR="00A9394E" w:rsidRPr="003B60CC" w:rsidRDefault="00CB21CF" w:rsidP="003B60CC">
            <w:pPr>
              <w:ind w:left="113" w:right="113"/>
              <w:jc w:val="center"/>
              <w:rPr>
                <w:rFonts w:ascii="Verdana" w:hAnsi="Verdana" w:cs="Calibri"/>
                <w:bCs/>
                <w:sz w:val="16"/>
                <w:szCs w:val="16"/>
              </w:rPr>
            </w:pPr>
            <w:r w:rsidRPr="003B60CC">
              <w:rPr>
                <w:rFonts w:ascii="Verdana" w:hAnsi="Verdana" w:cs="Calibri"/>
                <w:bCs/>
                <w:sz w:val="16"/>
                <w:szCs w:val="16"/>
              </w:rPr>
              <w:t>Vita Audit Services Agency</w:t>
            </w:r>
          </w:p>
        </w:tc>
        <w:tc>
          <w:tcPr>
            <w:tcW w:w="326" w:type="pct"/>
            <w:shd w:val="clear" w:color="auto" w:fill="D9D9D9" w:themeFill="background1" w:themeFillShade="D9"/>
            <w:textDirection w:val="btLr"/>
            <w:vAlign w:val="center"/>
            <w:hideMark/>
          </w:tcPr>
          <w:p w14:paraId="6E4E9073" w14:textId="7A540B0B" w:rsidR="00A9394E" w:rsidRPr="003B60CC" w:rsidRDefault="00CB21CF" w:rsidP="003B60CC">
            <w:pPr>
              <w:ind w:left="113" w:right="113"/>
              <w:jc w:val="center"/>
              <w:rPr>
                <w:rFonts w:ascii="Verdana" w:hAnsi="Verdana" w:cs="Calibri"/>
                <w:bCs/>
                <w:sz w:val="16"/>
                <w:szCs w:val="16"/>
              </w:rPr>
            </w:pPr>
            <w:r>
              <w:rPr>
                <w:rFonts w:ascii="Verdana" w:hAnsi="Verdana" w:cs="Calibri"/>
                <w:bCs/>
                <w:sz w:val="16"/>
                <w:szCs w:val="16"/>
              </w:rPr>
              <w:t xml:space="preserve">ISO </w:t>
            </w:r>
            <w:r w:rsidRPr="003B60CC">
              <w:rPr>
                <w:rFonts w:ascii="Verdana" w:hAnsi="Verdana" w:cs="Calibri"/>
                <w:bCs/>
                <w:sz w:val="16"/>
                <w:szCs w:val="16"/>
              </w:rPr>
              <w:t>Certification Status</w:t>
            </w:r>
          </w:p>
        </w:tc>
        <w:tc>
          <w:tcPr>
            <w:tcW w:w="245" w:type="pct"/>
            <w:shd w:val="clear" w:color="auto" w:fill="D9D9D9" w:themeFill="background1" w:themeFillShade="D9"/>
            <w:textDirection w:val="btLr"/>
            <w:vAlign w:val="center"/>
            <w:hideMark/>
          </w:tcPr>
          <w:p w14:paraId="57088FCD" w14:textId="5D4ECF3C" w:rsidR="00A9394E" w:rsidRPr="003B60CC" w:rsidRDefault="00CB21CF" w:rsidP="003B60CC">
            <w:pPr>
              <w:ind w:left="113" w:right="113"/>
              <w:jc w:val="center"/>
              <w:rPr>
                <w:rFonts w:ascii="Verdana" w:hAnsi="Verdana" w:cs="Calibri"/>
                <w:bCs/>
                <w:sz w:val="16"/>
                <w:szCs w:val="16"/>
              </w:rPr>
            </w:pPr>
            <w:r w:rsidRPr="003B60CC">
              <w:rPr>
                <w:rFonts w:ascii="Verdana" w:hAnsi="Verdana" w:cs="Calibri"/>
                <w:bCs/>
                <w:sz w:val="16"/>
                <w:szCs w:val="16"/>
              </w:rPr>
              <w:t>Audit Plan Status</w:t>
            </w:r>
          </w:p>
        </w:tc>
        <w:tc>
          <w:tcPr>
            <w:tcW w:w="226" w:type="pct"/>
            <w:shd w:val="clear" w:color="auto" w:fill="D9D9D9" w:themeFill="background1" w:themeFillShade="D9"/>
            <w:textDirection w:val="btLr"/>
            <w:vAlign w:val="center"/>
            <w:hideMark/>
          </w:tcPr>
          <w:p w14:paraId="7E818742" w14:textId="0AAEA337" w:rsidR="00A9394E" w:rsidRPr="008D31D8" w:rsidRDefault="00CB21CF" w:rsidP="003B60CC">
            <w:pPr>
              <w:ind w:left="113" w:right="113"/>
              <w:jc w:val="center"/>
              <w:rPr>
                <w:rFonts w:ascii="Verdana" w:hAnsi="Verdana" w:cs="Calibri"/>
                <w:bCs/>
                <w:sz w:val="14"/>
                <w:szCs w:val="14"/>
              </w:rPr>
            </w:pPr>
            <w:r w:rsidRPr="008D31D8">
              <w:rPr>
                <w:rFonts w:ascii="Verdana" w:hAnsi="Verdana" w:cs="Calibri"/>
                <w:bCs/>
                <w:sz w:val="14"/>
                <w:szCs w:val="14"/>
              </w:rPr>
              <w:t>Current Year Percentage Of Audit Reports Received</w:t>
            </w:r>
          </w:p>
        </w:tc>
        <w:tc>
          <w:tcPr>
            <w:tcW w:w="247" w:type="pct"/>
            <w:shd w:val="clear" w:color="auto" w:fill="D9D9D9" w:themeFill="background1" w:themeFillShade="D9"/>
            <w:textDirection w:val="btLr"/>
            <w:vAlign w:val="center"/>
            <w:hideMark/>
          </w:tcPr>
          <w:p w14:paraId="4A2EDC5F" w14:textId="092633AB" w:rsidR="00A9394E" w:rsidRPr="008D31D8" w:rsidRDefault="00CB21CF" w:rsidP="00937B57">
            <w:pPr>
              <w:ind w:left="113" w:right="113"/>
              <w:jc w:val="center"/>
              <w:rPr>
                <w:rFonts w:ascii="Verdana" w:hAnsi="Verdana" w:cs="Calibri"/>
                <w:bCs/>
                <w:sz w:val="14"/>
                <w:szCs w:val="14"/>
              </w:rPr>
            </w:pPr>
            <w:r w:rsidRPr="008D31D8">
              <w:rPr>
                <w:rFonts w:ascii="Verdana" w:hAnsi="Verdana" w:cs="Calibri"/>
                <w:bCs/>
                <w:sz w:val="14"/>
                <w:szCs w:val="14"/>
              </w:rPr>
              <w:t>Current Year Percentage Of Quarterly Updates Received</w:t>
            </w:r>
          </w:p>
        </w:tc>
        <w:tc>
          <w:tcPr>
            <w:tcW w:w="226" w:type="pct"/>
            <w:shd w:val="clear" w:color="auto" w:fill="D9D9D9" w:themeFill="background1" w:themeFillShade="D9"/>
            <w:textDirection w:val="btLr"/>
            <w:vAlign w:val="center"/>
            <w:hideMark/>
          </w:tcPr>
          <w:p w14:paraId="02C909D9" w14:textId="1D4C1E21" w:rsidR="00A9394E" w:rsidRPr="003B60CC" w:rsidRDefault="00CB21CF" w:rsidP="00E9544D">
            <w:pPr>
              <w:ind w:left="113" w:right="113"/>
              <w:jc w:val="center"/>
              <w:rPr>
                <w:rFonts w:ascii="Verdana" w:hAnsi="Verdana" w:cs="Calibri"/>
                <w:bCs/>
                <w:sz w:val="16"/>
                <w:szCs w:val="16"/>
              </w:rPr>
            </w:pPr>
            <w:r w:rsidRPr="003B60CC">
              <w:rPr>
                <w:rFonts w:ascii="Verdana" w:hAnsi="Verdana" w:cs="Calibri"/>
                <w:bCs/>
                <w:sz w:val="16"/>
                <w:szCs w:val="16"/>
              </w:rPr>
              <w:t>3 Year Audit Obligation</w:t>
            </w:r>
          </w:p>
        </w:tc>
        <w:tc>
          <w:tcPr>
            <w:tcW w:w="263" w:type="pct"/>
            <w:shd w:val="clear" w:color="auto" w:fill="D9D9D9" w:themeFill="background1" w:themeFillShade="D9"/>
            <w:textDirection w:val="btLr"/>
            <w:vAlign w:val="center"/>
            <w:hideMark/>
          </w:tcPr>
          <w:p w14:paraId="758B7B6E" w14:textId="03591646" w:rsidR="00A9394E" w:rsidRPr="003B60CC" w:rsidRDefault="00CB21CF">
            <w:pPr>
              <w:ind w:left="113" w:right="113"/>
              <w:jc w:val="center"/>
              <w:rPr>
                <w:rFonts w:ascii="Verdana" w:hAnsi="Verdana" w:cs="Calibri"/>
                <w:sz w:val="16"/>
                <w:szCs w:val="16"/>
              </w:rPr>
            </w:pPr>
            <w:r w:rsidRPr="003B60CC">
              <w:rPr>
                <w:rFonts w:ascii="Verdana" w:hAnsi="Verdana" w:cs="Calibri"/>
                <w:sz w:val="16"/>
                <w:szCs w:val="16"/>
              </w:rPr>
              <w:t>Audit Program Compliance</w:t>
            </w:r>
          </w:p>
        </w:tc>
        <w:tc>
          <w:tcPr>
            <w:tcW w:w="248" w:type="pct"/>
            <w:shd w:val="clear" w:color="auto" w:fill="D9D9D9" w:themeFill="background1" w:themeFillShade="D9"/>
            <w:textDirection w:val="btLr"/>
            <w:vAlign w:val="center"/>
            <w:hideMark/>
          </w:tcPr>
          <w:p w14:paraId="030B349C" w14:textId="24CCA06A" w:rsidR="00A9394E" w:rsidRPr="003B60CC" w:rsidRDefault="00CB21CF">
            <w:pPr>
              <w:ind w:left="113" w:right="113"/>
              <w:jc w:val="center"/>
              <w:rPr>
                <w:rFonts w:ascii="Verdana" w:hAnsi="Verdana" w:cs="Calibri"/>
                <w:sz w:val="16"/>
                <w:szCs w:val="16"/>
              </w:rPr>
            </w:pPr>
            <w:r w:rsidRPr="003B60CC">
              <w:rPr>
                <w:rFonts w:ascii="Verdana" w:hAnsi="Verdana" w:cs="Calibri"/>
                <w:sz w:val="16"/>
                <w:szCs w:val="16"/>
              </w:rPr>
              <w:t>Risk Program Compliance</w:t>
            </w:r>
          </w:p>
        </w:tc>
        <w:tc>
          <w:tcPr>
            <w:tcW w:w="191" w:type="pct"/>
            <w:shd w:val="clear" w:color="auto" w:fill="D9D9D9" w:themeFill="background1" w:themeFillShade="D9"/>
            <w:textDirection w:val="btLr"/>
            <w:vAlign w:val="center"/>
            <w:hideMark/>
          </w:tcPr>
          <w:p w14:paraId="5FEE02A3" w14:textId="64D355A3" w:rsidR="00A9394E" w:rsidRPr="003B60CC" w:rsidRDefault="00CB21CF">
            <w:pPr>
              <w:ind w:left="113" w:right="113"/>
              <w:jc w:val="center"/>
              <w:rPr>
                <w:rFonts w:ascii="Verdana" w:hAnsi="Verdana" w:cs="Calibri"/>
                <w:bCs/>
                <w:sz w:val="16"/>
                <w:szCs w:val="16"/>
              </w:rPr>
            </w:pPr>
            <w:r w:rsidRPr="003B60CC">
              <w:rPr>
                <w:rFonts w:ascii="Verdana" w:hAnsi="Verdana" w:cs="Calibri"/>
                <w:bCs/>
                <w:sz w:val="16"/>
                <w:szCs w:val="16"/>
              </w:rPr>
              <w:t>Risk Assessment Plan Status</w:t>
            </w:r>
          </w:p>
        </w:tc>
        <w:tc>
          <w:tcPr>
            <w:tcW w:w="335" w:type="pct"/>
            <w:shd w:val="clear" w:color="auto" w:fill="D9D9D9" w:themeFill="background1" w:themeFillShade="D9"/>
            <w:textDirection w:val="btLr"/>
            <w:vAlign w:val="center"/>
            <w:hideMark/>
          </w:tcPr>
          <w:p w14:paraId="48E8095F" w14:textId="6D62F075" w:rsidR="00A9394E" w:rsidRPr="003B60CC" w:rsidRDefault="00CB21CF">
            <w:pPr>
              <w:ind w:left="113" w:right="113"/>
              <w:jc w:val="center"/>
              <w:rPr>
                <w:rFonts w:ascii="Verdana" w:hAnsi="Verdana" w:cs="Calibri"/>
                <w:bCs/>
                <w:sz w:val="16"/>
                <w:szCs w:val="16"/>
              </w:rPr>
            </w:pPr>
            <w:r w:rsidRPr="003B60CC">
              <w:rPr>
                <w:rFonts w:ascii="Verdana" w:hAnsi="Verdana" w:cs="Calibri"/>
                <w:bCs/>
                <w:sz w:val="16"/>
                <w:szCs w:val="16"/>
              </w:rPr>
              <w:t>3 Year Risk Assessment Obligation</w:t>
            </w:r>
          </w:p>
        </w:tc>
        <w:tc>
          <w:tcPr>
            <w:tcW w:w="226" w:type="pct"/>
            <w:shd w:val="clear" w:color="auto" w:fill="D9D9D9" w:themeFill="background1" w:themeFillShade="D9"/>
            <w:textDirection w:val="btLr"/>
            <w:vAlign w:val="center"/>
            <w:hideMark/>
          </w:tcPr>
          <w:p w14:paraId="08BC7069" w14:textId="4340CC49" w:rsidR="00A9394E" w:rsidRPr="003B60CC" w:rsidRDefault="00CB21CF">
            <w:pPr>
              <w:ind w:left="113" w:right="113"/>
              <w:jc w:val="center"/>
              <w:rPr>
                <w:rFonts w:ascii="Verdana" w:hAnsi="Verdana" w:cs="Calibri"/>
                <w:bCs/>
                <w:sz w:val="16"/>
                <w:szCs w:val="16"/>
              </w:rPr>
            </w:pPr>
            <w:r w:rsidRPr="003B60CC">
              <w:rPr>
                <w:rFonts w:ascii="Verdana" w:hAnsi="Verdana" w:cs="Calibri"/>
                <w:bCs/>
                <w:sz w:val="16"/>
                <w:szCs w:val="16"/>
              </w:rPr>
              <w:t>B</w:t>
            </w:r>
            <w:r w:rsidR="00937B57">
              <w:rPr>
                <w:rFonts w:ascii="Verdana" w:hAnsi="Verdana" w:cs="Calibri"/>
                <w:bCs/>
                <w:sz w:val="16"/>
                <w:szCs w:val="16"/>
              </w:rPr>
              <w:t>IA</w:t>
            </w:r>
            <w:r w:rsidRPr="003B60CC">
              <w:rPr>
                <w:rFonts w:ascii="Verdana" w:hAnsi="Verdana" w:cs="Calibri"/>
                <w:bCs/>
                <w:sz w:val="16"/>
                <w:szCs w:val="16"/>
              </w:rPr>
              <w:t xml:space="preserve"> Status</w:t>
            </w:r>
          </w:p>
        </w:tc>
      </w:tr>
      <w:tr w:rsidR="00A9394E" w:rsidRPr="003B60CC" w14:paraId="72734163" w14:textId="77777777" w:rsidTr="00CB21CF">
        <w:trPr>
          <w:trHeight w:val="300"/>
        </w:trPr>
        <w:tc>
          <w:tcPr>
            <w:tcW w:w="1023" w:type="pct"/>
            <w:noWrap/>
            <w:hideMark/>
          </w:tcPr>
          <w:p w14:paraId="59A87FD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Administration</w:t>
            </w:r>
          </w:p>
        </w:tc>
        <w:tc>
          <w:tcPr>
            <w:tcW w:w="344" w:type="pct"/>
            <w:hideMark/>
          </w:tcPr>
          <w:p w14:paraId="303E100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CB</w:t>
            </w:r>
          </w:p>
        </w:tc>
        <w:tc>
          <w:tcPr>
            <w:tcW w:w="675" w:type="pct"/>
            <w:hideMark/>
          </w:tcPr>
          <w:p w14:paraId="57F9FF7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Compensation Board</w:t>
            </w:r>
          </w:p>
        </w:tc>
        <w:tc>
          <w:tcPr>
            <w:tcW w:w="219" w:type="pct"/>
            <w:hideMark/>
          </w:tcPr>
          <w:p w14:paraId="2CC9412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3FD6653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1EF5D13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5767E37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478E9783"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44574E6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6467F97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63" w:type="pct"/>
            <w:hideMark/>
          </w:tcPr>
          <w:p w14:paraId="03DA5CF2" w14:textId="77777777" w:rsidR="00A9394E" w:rsidRPr="003B60CC" w:rsidRDefault="00A9394E" w:rsidP="008D31D8">
            <w:pPr>
              <w:jc w:val="center"/>
              <w:rPr>
                <w:rFonts w:ascii="Verdana" w:hAnsi="Verdana" w:cs="Calibri"/>
                <w:sz w:val="16"/>
                <w:szCs w:val="16"/>
              </w:rPr>
            </w:pPr>
            <w:bookmarkStart w:id="34" w:name="RANGE!O2:O79"/>
            <w:r w:rsidRPr="003B60CC">
              <w:rPr>
                <w:rFonts w:ascii="Verdana" w:hAnsi="Verdana" w:cs="Calibri"/>
                <w:sz w:val="16"/>
                <w:szCs w:val="16"/>
              </w:rPr>
              <w:t>66%</w:t>
            </w:r>
            <w:bookmarkEnd w:id="34"/>
          </w:p>
        </w:tc>
        <w:tc>
          <w:tcPr>
            <w:tcW w:w="248" w:type="pct"/>
            <w:hideMark/>
          </w:tcPr>
          <w:p w14:paraId="6B2C560D" w14:textId="77777777" w:rsidR="00A9394E" w:rsidRPr="003B60CC" w:rsidRDefault="00A9394E" w:rsidP="008D31D8">
            <w:pPr>
              <w:jc w:val="center"/>
              <w:rPr>
                <w:rFonts w:ascii="Verdana" w:hAnsi="Verdana" w:cs="Calibri"/>
                <w:sz w:val="16"/>
                <w:szCs w:val="16"/>
              </w:rPr>
            </w:pPr>
            <w:bookmarkStart w:id="35" w:name="RANGE!Q2:Q79"/>
            <w:r w:rsidRPr="003B60CC">
              <w:rPr>
                <w:rFonts w:ascii="Verdana" w:hAnsi="Verdana" w:cs="Calibri"/>
                <w:sz w:val="16"/>
                <w:szCs w:val="16"/>
              </w:rPr>
              <w:t>100%</w:t>
            </w:r>
            <w:bookmarkEnd w:id="35"/>
          </w:p>
        </w:tc>
        <w:tc>
          <w:tcPr>
            <w:tcW w:w="191" w:type="pct"/>
            <w:hideMark/>
          </w:tcPr>
          <w:p w14:paraId="1EEE1C0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2FB5C9D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6C0D887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752A411D" w14:textId="77777777" w:rsidTr="00CB21CF">
        <w:trPr>
          <w:trHeight w:val="300"/>
        </w:trPr>
        <w:tc>
          <w:tcPr>
            <w:tcW w:w="1023" w:type="pct"/>
            <w:noWrap/>
            <w:hideMark/>
          </w:tcPr>
          <w:p w14:paraId="4AA05E3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Administration</w:t>
            </w:r>
          </w:p>
        </w:tc>
        <w:tc>
          <w:tcPr>
            <w:tcW w:w="344" w:type="pct"/>
            <w:hideMark/>
          </w:tcPr>
          <w:p w14:paraId="054A2E9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DGS</w:t>
            </w:r>
          </w:p>
        </w:tc>
        <w:tc>
          <w:tcPr>
            <w:tcW w:w="675" w:type="pct"/>
            <w:hideMark/>
          </w:tcPr>
          <w:p w14:paraId="09E9C72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General Services</w:t>
            </w:r>
          </w:p>
        </w:tc>
        <w:tc>
          <w:tcPr>
            <w:tcW w:w="219" w:type="pct"/>
            <w:hideMark/>
          </w:tcPr>
          <w:p w14:paraId="6888C48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61E962A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517BD16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161C4F1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5713829E"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2286D00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28E6595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88%</w:t>
            </w:r>
          </w:p>
        </w:tc>
        <w:tc>
          <w:tcPr>
            <w:tcW w:w="263" w:type="pct"/>
            <w:hideMark/>
          </w:tcPr>
          <w:p w14:paraId="27FECB3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96%</w:t>
            </w:r>
          </w:p>
        </w:tc>
        <w:tc>
          <w:tcPr>
            <w:tcW w:w="248" w:type="pct"/>
            <w:hideMark/>
          </w:tcPr>
          <w:p w14:paraId="74C761B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98%</w:t>
            </w:r>
          </w:p>
        </w:tc>
        <w:tc>
          <w:tcPr>
            <w:tcW w:w="191" w:type="pct"/>
            <w:hideMark/>
          </w:tcPr>
          <w:p w14:paraId="1FFD583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552D230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88%</w:t>
            </w:r>
          </w:p>
        </w:tc>
        <w:tc>
          <w:tcPr>
            <w:tcW w:w="226" w:type="pct"/>
            <w:hideMark/>
          </w:tcPr>
          <w:p w14:paraId="3FA655A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006AD52B" w14:textId="77777777" w:rsidTr="00CB21CF">
        <w:trPr>
          <w:trHeight w:val="300"/>
        </w:trPr>
        <w:tc>
          <w:tcPr>
            <w:tcW w:w="1023" w:type="pct"/>
            <w:noWrap/>
            <w:hideMark/>
          </w:tcPr>
          <w:p w14:paraId="7110F21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Administration</w:t>
            </w:r>
          </w:p>
        </w:tc>
        <w:tc>
          <w:tcPr>
            <w:tcW w:w="344" w:type="pct"/>
            <w:hideMark/>
          </w:tcPr>
          <w:p w14:paraId="32234BA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DHRM</w:t>
            </w:r>
          </w:p>
        </w:tc>
        <w:tc>
          <w:tcPr>
            <w:tcW w:w="675" w:type="pct"/>
            <w:hideMark/>
          </w:tcPr>
          <w:p w14:paraId="0F1AC2B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Human Resource Management</w:t>
            </w:r>
          </w:p>
        </w:tc>
        <w:tc>
          <w:tcPr>
            <w:tcW w:w="219" w:type="pct"/>
            <w:hideMark/>
          </w:tcPr>
          <w:p w14:paraId="10AC363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39A929C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29B5C2C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3CFDA78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6A0FD295"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7C0E8C5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552B139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28%</w:t>
            </w:r>
          </w:p>
        </w:tc>
        <w:tc>
          <w:tcPr>
            <w:tcW w:w="263" w:type="pct"/>
            <w:hideMark/>
          </w:tcPr>
          <w:p w14:paraId="709B58D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75%</w:t>
            </w:r>
          </w:p>
        </w:tc>
        <w:tc>
          <w:tcPr>
            <w:tcW w:w="248" w:type="pct"/>
            <w:hideMark/>
          </w:tcPr>
          <w:p w14:paraId="12AC8A9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004DDC8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46123C2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449A697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2094CC81" w14:textId="77777777" w:rsidTr="00CB21CF">
        <w:trPr>
          <w:trHeight w:val="300"/>
        </w:trPr>
        <w:tc>
          <w:tcPr>
            <w:tcW w:w="1023" w:type="pct"/>
            <w:noWrap/>
            <w:hideMark/>
          </w:tcPr>
          <w:p w14:paraId="1D80800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Administration</w:t>
            </w:r>
          </w:p>
        </w:tc>
        <w:tc>
          <w:tcPr>
            <w:tcW w:w="344" w:type="pct"/>
            <w:hideMark/>
          </w:tcPr>
          <w:p w14:paraId="65BC693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ELECT</w:t>
            </w:r>
          </w:p>
        </w:tc>
        <w:tc>
          <w:tcPr>
            <w:tcW w:w="675" w:type="pct"/>
            <w:hideMark/>
          </w:tcPr>
          <w:p w14:paraId="081DD5D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Elections</w:t>
            </w:r>
          </w:p>
        </w:tc>
        <w:tc>
          <w:tcPr>
            <w:tcW w:w="219" w:type="pct"/>
            <w:hideMark/>
          </w:tcPr>
          <w:p w14:paraId="7BA23DD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1A2BA16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16DA96C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5AD7EF6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2908B783"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4E74D5A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7336842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63" w:type="pct"/>
            <w:hideMark/>
          </w:tcPr>
          <w:p w14:paraId="0D787D0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66%</w:t>
            </w:r>
          </w:p>
        </w:tc>
        <w:tc>
          <w:tcPr>
            <w:tcW w:w="248" w:type="pct"/>
            <w:hideMark/>
          </w:tcPr>
          <w:p w14:paraId="6261132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41281C4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3AD0AAB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7232757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5F89E1EA" w14:textId="77777777" w:rsidTr="00CB21CF">
        <w:trPr>
          <w:trHeight w:val="300"/>
        </w:trPr>
        <w:tc>
          <w:tcPr>
            <w:tcW w:w="1023" w:type="pct"/>
            <w:noWrap/>
            <w:hideMark/>
          </w:tcPr>
          <w:p w14:paraId="0776422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Administration</w:t>
            </w:r>
          </w:p>
        </w:tc>
        <w:tc>
          <w:tcPr>
            <w:tcW w:w="344" w:type="pct"/>
            <w:hideMark/>
          </w:tcPr>
          <w:p w14:paraId="5ED4FBC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VITA</w:t>
            </w:r>
          </w:p>
        </w:tc>
        <w:tc>
          <w:tcPr>
            <w:tcW w:w="675" w:type="pct"/>
            <w:hideMark/>
          </w:tcPr>
          <w:p w14:paraId="2BCCF0A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Information Technologies Agency</w:t>
            </w:r>
          </w:p>
        </w:tc>
        <w:tc>
          <w:tcPr>
            <w:tcW w:w="219" w:type="pct"/>
            <w:hideMark/>
          </w:tcPr>
          <w:p w14:paraId="703999F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6CD5CF9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6189826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735BE22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270022B3"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4B4004C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7203C7F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161A423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086C085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97%</w:t>
            </w:r>
          </w:p>
        </w:tc>
        <w:tc>
          <w:tcPr>
            <w:tcW w:w="191" w:type="pct"/>
            <w:hideMark/>
          </w:tcPr>
          <w:p w14:paraId="33888D7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18A8710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82%</w:t>
            </w:r>
          </w:p>
        </w:tc>
        <w:tc>
          <w:tcPr>
            <w:tcW w:w="226" w:type="pct"/>
            <w:hideMark/>
          </w:tcPr>
          <w:p w14:paraId="11055FC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2832FDFF" w14:textId="77777777" w:rsidTr="00CB21CF">
        <w:trPr>
          <w:trHeight w:val="300"/>
        </w:trPr>
        <w:tc>
          <w:tcPr>
            <w:tcW w:w="1023" w:type="pct"/>
            <w:noWrap/>
            <w:hideMark/>
          </w:tcPr>
          <w:p w14:paraId="47ACC6A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Agriculture &amp; Forestry</w:t>
            </w:r>
          </w:p>
        </w:tc>
        <w:tc>
          <w:tcPr>
            <w:tcW w:w="344" w:type="pct"/>
            <w:hideMark/>
          </w:tcPr>
          <w:p w14:paraId="4A4D6C5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DOF</w:t>
            </w:r>
          </w:p>
        </w:tc>
        <w:tc>
          <w:tcPr>
            <w:tcW w:w="675" w:type="pct"/>
            <w:hideMark/>
          </w:tcPr>
          <w:p w14:paraId="17428C5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Forestry</w:t>
            </w:r>
          </w:p>
        </w:tc>
        <w:tc>
          <w:tcPr>
            <w:tcW w:w="219" w:type="pct"/>
            <w:hideMark/>
          </w:tcPr>
          <w:p w14:paraId="6F0DCE2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7FAB6A8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6E221F7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2E1D3BF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3293688D"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5C1EA49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11%</w:t>
            </w:r>
          </w:p>
        </w:tc>
        <w:tc>
          <w:tcPr>
            <w:tcW w:w="226" w:type="pct"/>
            <w:hideMark/>
          </w:tcPr>
          <w:p w14:paraId="1E9C231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78%</w:t>
            </w:r>
          </w:p>
        </w:tc>
        <w:tc>
          <w:tcPr>
            <w:tcW w:w="263" w:type="pct"/>
            <w:hideMark/>
          </w:tcPr>
          <w:p w14:paraId="66FC2AE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62%</w:t>
            </w:r>
          </w:p>
        </w:tc>
        <w:tc>
          <w:tcPr>
            <w:tcW w:w="248" w:type="pct"/>
            <w:hideMark/>
          </w:tcPr>
          <w:p w14:paraId="7308086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97%</w:t>
            </w:r>
          </w:p>
        </w:tc>
        <w:tc>
          <w:tcPr>
            <w:tcW w:w="191" w:type="pct"/>
            <w:hideMark/>
          </w:tcPr>
          <w:p w14:paraId="1636979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4761EBE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81%</w:t>
            </w:r>
          </w:p>
        </w:tc>
        <w:tc>
          <w:tcPr>
            <w:tcW w:w="226" w:type="pct"/>
            <w:hideMark/>
          </w:tcPr>
          <w:p w14:paraId="12A395F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11DDA1DB" w14:textId="77777777" w:rsidTr="00CB21CF">
        <w:trPr>
          <w:trHeight w:val="300"/>
        </w:trPr>
        <w:tc>
          <w:tcPr>
            <w:tcW w:w="1023" w:type="pct"/>
            <w:noWrap/>
            <w:hideMark/>
          </w:tcPr>
          <w:p w14:paraId="4746FAE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Agriculture &amp; Forestry</w:t>
            </w:r>
          </w:p>
        </w:tc>
        <w:tc>
          <w:tcPr>
            <w:tcW w:w="344" w:type="pct"/>
            <w:hideMark/>
          </w:tcPr>
          <w:p w14:paraId="09142C8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VDACS</w:t>
            </w:r>
          </w:p>
        </w:tc>
        <w:tc>
          <w:tcPr>
            <w:tcW w:w="675" w:type="pct"/>
            <w:hideMark/>
          </w:tcPr>
          <w:p w14:paraId="65FD5B9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Department of Agriculture and Consumer Services</w:t>
            </w:r>
          </w:p>
        </w:tc>
        <w:tc>
          <w:tcPr>
            <w:tcW w:w="219" w:type="pct"/>
            <w:hideMark/>
          </w:tcPr>
          <w:p w14:paraId="43AF5ED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39D60D5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63C97A2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4360C81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72E91FF3"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747BA84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46F4C24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36CE071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18F1F8E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15E5CA8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2B982B8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07CAF5F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4BE968AE" w14:textId="77777777" w:rsidTr="00CB21CF">
        <w:trPr>
          <w:trHeight w:val="300"/>
        </w:trPr>
        <w:tc>
          <w:tcPr>
            <w:tcW w:w="1023" w:type="pct"/>
            <w:noWrap/>
            <w:hideMark/>
          </w:tcPr>
          <w:p w14:paraId="7E971BA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Agriculture &amp; Forestry</w:t>
            </w:r>
          </w:p>
        </w:tc>
        <w:tc>
          <w:tcPr>
            <w:tcW w:w="344" w:type="pct"/>
            <w:hideMark/>
          </w:tcPr>
          <w:p w14:paraId="060CF8B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VRC</w:t>
            </w:r>
          </w:p>
        </w:tc>
        <w:tc>
          <w:tcPr>
            <w:tcW w:w="675" w:type="pct"/>
            <w:hideMark/>
          </w:tcPr>
          <w:p w14:paraId="3AAE418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Racing Commission</w:t>
            </w:r>
          </w:p>
        </w:tc>
        <w:tc>
          <w:tcPr>
            <w:tcW w:w="219" w:type="pct"/>
            <w:hideMark/>
          </w:tcPr>
          <w:p w14:paraId="4A15731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33EE4F3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5862D55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629F3FF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126522D9"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4CF6A2F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2CD5D5A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227293A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20965C2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92%</w:t>
            </w:r>
          </w:p>
        </w:tc>
        <w:tc>
          <w:tcPr>
            <w:tcW w:w="191" w:type="pct"/>
            <w:hideMark/>
          </w:tcPr>
          <w:p w14:paraId="435A4E1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7A73715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39D1244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38EFEA9E" w14:textId="77777777" w:rsidTr="00CB21CF">
        <w:trPr>
          <w:trHeight w:val="300"/>
        </w:trPr>
        <w:tc>
          <w:tcPr>
            <w:tcW w:w="1023" w:type="pct"/>
            <w:noWrap/>
            <w:hideMark/>
          </w:tcPr>
          <w:p w14:paraId="5461C9E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Commerce and Trade</w:t>
            </w:r>
          </w:p>
        </w:tc>
        <w:tc>
          <w:tcPr>
            <w:tcW w:w="344" w:type="pct"/>
            <w:hideMark/>
          </w:tcPr>
          <w:p w14:paraId="468AA17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BOA</w:t>
            </w:r>
          </w:p>
        </w:tc>
        <w:tc>
          <w:tcPr>
            <w:tcW w:w="675" w:type="pct"/>
            <w:hideMark/>
          </w:tcPr>
          <w:p w14:paraId="4F604AA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Board of Accountancy</w:t>
            </w:r>
          </w:p>
        </w:tc>
        <w:tc>
          <w:tcPr>
            <w:tcW w:w="219" w:type="pct"/>
            <w:hideMark/>
          </w:tcPr>
          <w:p w14:paraId="3C1E053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66BB39E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37A8C60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60C1F17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0B58D319"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69A7256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4C52803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63" w:type="pct"/>
            <w:hideMark/>
          </w:tcPr>
          <w:p w14:paraId="140C8BE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66%</w:t>
            </w:r>
          </w:p>
        </w:tc>
        <w:tc>
          <w:tcPr>
            <w:tcW w:w="248" w:type="pct"/>
            <w:hideMark/>
          </w:tcPr>
          <w:p w14:paraId="405EF36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15ADA1C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4122ED9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74024F9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077448BC" w14:textId="77777777" w:rsidTr="00CB21CF">
        <w:trPr>
          <w:trHeight w:val="300"/>
        </w:trPr>
        <w:tc>
          <w:tcPr>
            <w:tcW w:w="1023" w:type="pct"/>
            <w:noWrap/>
            <w:hideMark/>
          </w:tcPr>
          <w:p w14:paraId="6708727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Commerce and Trade</w:t>
            </w:r>
          </w:p>
        </w:tc>
        <w:tc>
          <w:tcPr>
            <w:tcW w:w="344" w:type="pct"/>
            <w:hideMark/>
          </w:tcPr>
          <w:p w14:paraId="4A1BE22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DHCD</w:t>
            </w:r>
          </w:p>
        </w:tc>
        <w:tc>
          <w:tcPr>
            <w:tcW w:w="675" w:type="pct"/>
            <w:hideMark/>
          </w:tcPr>
          <w:p w14:paraId="2ABF980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Housing and Community Development</w:t>
            </w:r>
          </w:p>
        </w:tc>
        <w:tc>
          <w:tcPr>
            <w:tcW w:w="219" w:type="pct"/>
            <w:hideMark/>
          </w:tcPr>
          <w:p w14:paraId="1337542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4CA4245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50125AE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6B36D03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30DFE9CA"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1918A94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50%</w:t>
            </w:r>
          </w:p>
        </w:tc>
        <w:tc>
          <w:tcPr>
            <w:tcW w:w="226" w:type="pct"/>
            <w:hideMark/>
          </w:tcPr>
          <w:p w14:paraId="6221BEE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43A6C9F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83%</w:t>
            </w:r>
          </w:p>
        </w:tc>
        <w:tc>
          <w:tcPr>
            <w:tcW w:w="248" w:type="pct"/>
            <w:hideMark/>
          </w:tcPr>
          <w:p w14:paraId="709FCFB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83%</w:t>
            </w:r>
          </w:p>
        </w:tc>
        <w:tc>
          <w:tcPr>
            <w:tcW w:w="191" w:type="pct"/>
            <w:hideMark/>
          </w:tcPr>
          <w:p w14:paraId="3DF0936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5153638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26" w:type="pct"/>
            <w:hideMark/>
          </w:tcPr>
          <w:p w14:paraId="071E2A1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0429962A" w14:textId="77777777" w:rsidTr="00CB21CF">
        <w:trPr>
          <w:trHeight w:val="300"/>
        </w:trPr>
        <w:tc>
          <w:tcPr>
            <w:tcW w:w="1023" w:type="pct"/>
            <w:noWrap/>
            <w:hideMark/>
          </w:tcPr>
          <w:p w14:paraId="1316F9F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Commerce and Trade</w:t>
            </w:r>
          </w:p>
        </w:tc>
        <w:tc>
          <w:tcPr>
            <w:tcW w:w="344" w:type="pct"/>
            <w:hideMark/>
          </w:tcPr>
          <w:p w14:paraId="7381206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DMME</w:t>
            </w:r>
          </w:p>
        </w:tc>
        <w:tc>
          <w:tcPr>
            <w:tcW w:w="675" w:type="pct"/>
            <w:hideMark/>
          </w:tcPr>
          <w:p w14:paraId="3BC4B97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Mines, Minerals and Energy</w:t>
            </w:r>
          </w:p>
        </w:tc>
        <w:tc>
          <w:tcPr>
            <w:tcW w:w="219" w:type="pct"/>
            <w:hideMark/>
          </w:tcPr>
          <w:p w14:paraId="050B6D3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226A655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66BDE26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1DA3DE5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3296782B"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518CD00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2216790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532E20D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2BAEB86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68E4977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2493807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49B4B6C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6CF6C588" w14:textId="77777777" w:rsidTr="00CB21CF">
        <w:trPr>
          <w:trHeight w:val="300"/>
        </w:trPr>
        <w:tc>
          <w:tcPr>
            <w:tcW w:w="1023" w:type="pct"/>
            <w:noWrap/>
            <w:hideMark/>
          </w:tcPr>
          <w:p w14:paraId="4A728BA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Commerce and Trade</w:t>
            </w:r>
          </w:p>
        </w:tc>
        <w:tc>
          <w:tcPr>
            <w:tcW w:w="344" w:type="pct"/>
            <w:hideMark/>
          </w:tcPr>
          <w:p w14:paraId="2764103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DOLI</w:t>
            </w:r>
          </w:p>
        </w:tc>
        <w:tc>
          <w:tcPr>
            <w:tcW w:w="675" w:type="pct"/>
            <w:hideMark/>
          </w:tcPr>
          <w:p w14:paraId="44CF98B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Labor and Industry</w:t>
            </w:r>
          </w:p>
        </w:tc>
        <w:tc>
          <w:tcPr>
            <w:tcW w:w="219" w:type="pct"/>
            <w:hideMark/>
          </w:tcPr>
          <w:p w14:paraId="6B22E39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3483329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2839816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4127555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1D01D887"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0%</w:t>
            </w:r>
          </w:p>
        </w:tc>
        <w:tc>
          <w:tcPr>
            <w:tcW w:w="247" w:type="pct"/>
            <w:hideMark/>
          </w:tcPr>
          <w:p w14:paraId="6ADC786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2704CF1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57%</w:t>
            </w:r>
          </w:p>
        </w:tc>
        <w:tc>
          <w:tcPr>
            <w:tcW w:w="263" w:type="pct"/>
            <w:hideMark/>
          </w:tcPr>
          <w:p w14:paraId="7E89183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81%</w:t>
            </w:r>
          </w:p>
        </w:tc>
        <w:tc>
          <w:tcPr>
            <w:tcW w:w="248" w:type="pct"/>
            <w:hideMark/>
          </w:tcPr>
          <w:p w14:paraId="6C73E48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3512FF5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34DB510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5CC1376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25E2655A" w14:textId="77777777" w:rsidTr="00CB21CF">
        <w:trPr>
          <w:trHeight w:val="300"/>
        </w:trPr>
        <w:tc>
          <w:tcPr>
            <w:tcW w:w="1023" w:type="pct"/>
            <w:noWrap/>
            <w:hideMark/>
          </w:tcPr>
          <w:p w14:paraId="5204D78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Commerce and Trade</w:t>
            </w:r>
          </w:p>
        </w:tc>
        <w:tc>
          <w:tcPr>
            <w:tcW w:w="344" w:type="pct"/>
            <w:hideMark/>
          </w:tcPr>
          <w:p w14:paraId="1ECE6B0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DPOR</w:t>
            </w:r>
          </w:p>
        </w:tc>
        <w:tc>
          <w:tcPr>
            <w:tcW w:w="675" w:type="pct"/>
            <w:hideMark/>
          </w:tcPr>
          <w:p w14:paraId="6FECE2D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Professional and Occupational Regulation</w:t>
            </w:r>
          </w:p>
        </w:tc>
        <w:tc>
          <w:tcPr>
            <w:tcW w:w="219" w:type="pct"/>
            <w:hideMark/>
          </w:tcPr>
          <w:p w14:paraId="6DC6BF7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7CAB6FE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57F1A62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6C7FCB8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7DB0F8EC"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094A7CF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09A97DC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464B17E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49E0E63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53ED8C8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5B34CCC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13A05E1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30C728A1" w14:textId="77777777" w:rsidTr="00CB21CF">
        <w:trPr>
          <w:trHeight w:val="300"/>
        </w:trPr>
        <w:tc>
          <w:tcPr>
            <w:tcW w:w="1023" w:type="pct"/>
            <w:noWrap/>
            <w:hideMark/>
          </w:tcPr>
          <w:p w14:paraId="7956F55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Commerce and Trade</w:t>
            </w:r>
          </w:p>
        </w:tc>
        <w:tc>
          <w:tcPr>
            <w:tcW w:w="344" w:type="pct"/>
            <w:hideMark/>
          </w:tcPr>
          <w:p w14:paraId="180E63D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IEIA</w:t>
            </w:r>
          </w:p>
        </w:tc>
        <w:tc>
          <w:tcPr>
            <w:tcW w:w="675" w:type="pct"/>
            <w:hideMark/>
          </w:tcPr>
          <w:p w14:paraId="7B1A191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Center for Innovative Technologies</w:t>
            </w:r>
          </w:p>
        </w:tc>
        <w:tc>
          <w:tcPr>
            <w:tcW w:w="219" w:type="pct"/>
            <w:hideMark/>
          </w:tcPr>
          <w:p w14:paraId="334127E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65A38FC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4ECF58C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038D867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676C313C"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3CA9B8D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5625EFF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0873D65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5EF2618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85%</w:t>
            </w:r>
          </w:p>
        </w:tc>
        <w:tc>
          <w:tcPr>
            <w:tcW w:w="191" w:type="pct"/>
            <w:hideMark/>
          </w:tcPr>
          <w:p w14:paraId="1394726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40F5A4A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w:t>
            </w:r>
          </w:p>
        </w:tc>
        <w:tc>
          <w:tcPr>
            <w:tcW w:w="226" w:type="pct"/>
            <w:hideMark/>
          </w:tcPr>
          <w:p w14:paraId="2ABA35D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2AD7333A" w14:textId="77777777" w:rsidTr="00CB21CF">
        <w:trPr>
          <w:trHeight w:val="300"/>
        </w:trPr>
        <w:tc>
          <w:tcPr>
            <w:tcW w:w="1023" w:type="pct"/>
            <w:noWrap/>
            <w:hideMark/>
          </w:tcPr>
          <w:p w14:paraId="636E6A5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Commerce and Trade</w:t>
            </w:r>
          </w:p>
        </w:tc>
        <w:tc>
          <w:tcPr>
            <w:tcW w:w="344" w:type="pct"/>
            <w:hideMark/>
          </w:tcPr>
          <w:p w14:paraId="1DF2CB9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SBSD</w:t>
            </w:r>
          </w:p>
        </w:tc>
        <w:tc>
          <w:tcPr>
            <w:tcW w:w="675" w:type="pct"/>
            <w:hideMark/>
          </w:tcPr>
          <w:p w14:paraId="067887D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Small Business and Supplier Diversity</w:t>
            </w:r>
          </w:p>
        </w:tc>
        <w:tc>
          <w:tcPr>
            <w:tcW w:w="219" w:type="pct"/>
            <w:hideMark/>
          </w:tcPr>
          <w:p w14:paraId="58FF265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4F6F4B3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7BA4AAB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7735D10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66A0A2FA"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3B993BE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009B895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69EFF36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355A278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5EABAC0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7AF2782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42F86F8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2C4454BD" w14:textId="77777777" w:rsidTr="00CB21CF">
        <w:trPr>
          <w:trHeight w:val="300"/>
        </w:trPr>
        <w:tc>
          <w:tcPr>
            <w:tcW w:w="1023" w:type="pct"/>
            <w:noWrap/>
            <w:hideMark/>
          </w:tcPr>
          <w:p w14:paraId="1CD5043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Commerce and Trade</w:t>
            </w:r>
          </w:p>
        </w:tc>
        <w:tc>
          <w:tcPr>
            <w:tcW w:w="344" w:type="pct"/>
            <w:hideMark/>
          </w:tcPr>
          <w:p w14:paraId="330EE0F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TIC</w:t>
            </w:r>
          </w:p>
        </w:tc>
        <w:tc>
          <w:tcPr>
            <w:tcW w:w="675" w:type="pct"/>
            <w:hideMark/>
          </w:tcPr>
          <w:p w14:paraId="5CD9EFD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Tobacco Region Revitalization Commission</w:t>
            </w:r>
          </w:p>
        </w:tc>
        <w:tc>
          <w:tcPr>
            <w:tcW w:w="219" w:type="pct"/>
            <w:hideMark/>
          </w:tcPr>
          <w:p w14:paraId="2FD2480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3122B86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1C08D1D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N/C</w:t>
            </w:r>
          </w:p>
        </w:tc>
        <w:tc>
          <w:tcPr>
            <w:tcW w:w="245" w:type="pct"/>
            <w:hideMark/>
          </w:tcPr>
          <w:p w14:paraId="1966BBB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153CEF98"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0%</w:t>
            </w:r>
          </w:p>
        </w:tc>
        <w:tc>
          <w:tcPr>
            <w:tcW w:w="247" w:type="pct"/>
            <w:hideMark/>
          </w:tcPr>
          <w:p w14:paraId="5DC05AF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376E407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63" w:type="pct"/>
            <w:hideMark/>
          </w:tcPr>
          <w:p w14:paraId="1BAB2E4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61%</w:t>
            </w:r>
          </w:p>
        </w:tc>
        <w:tc>
          <w:tcPr>
            <w:tcW w:w="248" w:type="pct"/>
            <w:hideMark/>
          </w:tcPr>
          <w:p w14:paraId="111B43F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38%</w:t>
            </w:r>
          </w:p>
        </w:tc>
        <w:tc>
          <w:tcPr>
            <w:tcW w:w="191" w:type="pct"/>
            <w:hideMark/>
          </w:tcPr>
          <w:p w14:paraId="5E0B435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335" w:type="pct"/>
            <w:hideMark/>
          </w:tcPr>
          <w:p w14:paraId="7122DD3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26" w:type="pct"/>
            <w:hideMark/>
          </w:tcPr>
          <w:p w14:paraId="618E19F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25%</w:t>
            </w:r>
          </w:p>
        </w:tc>
      </w:tr>
      <w:tr w:rsidR="00A9394E" w:rsidRPr="003B60CC" w14:paraId="12585743" w14:textId="77777777" w:rsidTr="00CB21CF">
        <w:trPr>
          <w:trHeight w:val="300"/>
        </w:trPr>
        <w:tc>
          <w:tcPr>
            <w:tcW w:w="1023" w:type="pct"/>
            <w:noWrap/>
            <w:hideMark/>
          </w:tcPr>
          <w:p w14:paraId="5473A8E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Commerce and Trade</w:t>
            </w:r>
          </w:p>
        </w:tc>
        <w:tc>
          <w:tcPr>
            <w:tcW w:w="344" w:type="pct"/>
            <w:hideMark/>
          </w:tcPr>
          <w:p w14:paraId="74249D3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VEC</w:t>
            </w:r>
          </w:p>
        </w:tc>
        <w:tc>
          <w:tcPr>
            <w:tcW w:w="675" w:type="pct"/>
            <w:hideMark/>
          </w:tcPr>
          <w:p w14:paraId="3BB0DA6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Employment Commission</w:t>
            </w:r>
          </w:p>
        </w:tc>
        <w:tc>
          <w:tcPr>
            <w:tcW w:w="219" w:type="pct"/>
            <w:hideMark/>
          </w:tcPr>
          <w:p w14:paraId="0AB809A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5155EEE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68BBF5F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0DD7752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1DB5EEAD"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88%</w:t>
            </w:r>
          </w:p>
        </w:tc>
        <w:tc>
          <w:tcPr>
            <w:tcW w:w="247" w:type="pct"/>
            <w:hideMark/>
          </w:tcPr>
          <w:p w14:paraId="67921B5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6B2FD72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74%</w:t>
            </w:r>
          </w:p>
        </w:tc>
        <w:tc>
          <w:tcPr>
            <w:tcW w:w="263" w:type="pct"/>
            <w:hideMark/>
          </w:tcPr>
          <w:p w14:paraId="255E11B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91%</w:t>
            </w:r>
          </w:p>
        </w:tc>
        <w:tc>
          <w:tcPr>
            <w:tcW w:w="248" w:type="pct"/>
            <w:hideMark/>
          </w:tcPr>
          <w:p w14:paraId="24DA80C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92%</w:t>
            </w:r>
          </w:p>
        </w:tc>
        <w:tc>
          <w:tcPr>
            <w:tcW w:w="191" w:type="pct"/>
            <w:hideMark/>
          </w:tcPr>
          <w:p w14:paraId="6D8C4B2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3A2D169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52%</w:t>
            </w:r>
          </w:p>
        </w:tc>
        <w:tc>
          <w:tcPr>
            <w:tcW w:w="226" w:type="pct"/>
            <w:hideMark/>
          </w:tcPr>
          <w:p w14:paraId="6EC7F0C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55F9C661" w14:textId="77777777" w:rsidTr="00CB21CF">
        <w:trPr>
          <w:trHeight w:val="300"/>
        </w:trPr>
        <w:tc>
          <w:tcPr>
            <w:tcW w:w="1023" w:type="pct"/>
            <w:noWrap/>
            <w:hideMark/>
          </w:tcPr>
          <w:p w14:paraId="62185EA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Commerce and Trade</w:t>
            </w:r>
          </w:p>
        </w:tc>
        <w:tc>
          <w:tcPr>
            <w:tcW w:w="344" w:type="pct"/>
            <w:hideMark/>
          </w:tcPr>
          <w:p w14:paraId="5BF4518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VEDP</w:t>
            </w:r>
          </w:p>
        </w:tc>
        <w:tc>
          <w:tcPr>
            <w:tcW w:w="675" w:type="pct"/>
            <w:hideMark/>
          </w:tcPr>
          <w:p w14:paraId="46E7D97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Economic Development Partnership</w:t>
            </w:r>
          </w:p>
        </w:tc>
        <w:tc>
          <w:tcPr>
            <w:tcW w:w="219" w:type="pct"/>
            <w:hideMark/>
          </w:tcPr>
          <w:p w14:paraId="478DAF7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2192871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0D560D3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394510B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N/C</w:t>
            </w:r>
          </w:p>
        </w:tc>
        <w:tc>
          <w:tcPr>
            <w:tcW w:w="226" w:type="pct"/>
            <w:hideMark/>
          </w:tcPr>
          <w:p w14:paraId="299EA58E"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N/C</w:t>
            </w:r>
          </w:p>
        </w:tc>
        <w:tc>
          <w:tcPr>
            <w:tcW w:w="247" w:type="pct"/>
            <w:hideMark/>
          </w:tcPr>
          <w:p w14:paraId="4641FC1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6C7117C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63" w:type="pct"/>
            <w:hideMark/>
          </w:tcPr>
          <w:p w14:paraId="49AB3A0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34%</w:t>
            </w:r>
          </w:p>
        </w:tc>
        <w:tc>
          <w:tcPr>
            <w:tcW w:w="248" w:type="pct"/>
            <w:hideMark/>
          </w:tcPr>
          <w:p w14:paraId="48DE636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25%</w:t>
            </w:r>
          </w:p>
        </w:tc>
        <w:tc>
          <w:tcPr>
            <w:tcW w:w="191" w:type="pct"/>
            <w:hideMark/>
          </w:tcPr>
          <w:p w14:paraId="1697609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335" w:type="pct"/>
            <w:hideMark/>
          </w:tcPr>
          <w:p w14:paraId="486197B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26" w:type="pct"/>
            <w:hideMark/>
          </w:tcPr>
          <w:p w14:paraId="6305071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r>
      <w:tr w:rsidR="00A9394E" w:rsidRPr="003B60CC" w14:paraId="4EEDDB8D" w14:textId="77777777" w:rsidTr="00CB21CF">
        <w:trPr>
          <w:trHeight w:val="300"/>
        </w:trPr>
        <w:tc>
          <w:tcPr>
            <w:tcW w:w="1023" w:type="pct"/>
            <w:noWrap/>
            <w:hideMark/>
          </w:tcPr>
          <w:p w14:paraId="6A3C61A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Education</w:t>
            </w:r>
          </w:p>
        </w:tc>
        <w:tc>
          <w:tcPr>
            <w:tcW w:w="344" w:type="pct"/>
            <w:hideMark/>
          </w:tcPr>
          <w:p w14:paraId="297A815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DOE</w:t>
            </w:r>
          </w:p>
        </w:tc>
        <w:tc>
          <w:tcPr>
            <w:tcW w:w="675" w:type="pct"/>
            <w:hideMark/>
          </w:tcPr>
          <w:p w14:paraId="5BC1636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Education</w:t>
            </w:r>
          </w:p>
        </w:tc>
        <w:tc>
          <w:tcPr>
            <w:tcW w:w="219" w:type="pct"/>
            <w:hideMark/>
          </w:tcPr>
          <w:p w14:paraId="250FADC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658B789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329D76D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5DE5155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3870480E"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4689035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1151508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59%</w:t>
            </w:r>
          </w:p>
        </w:tc>
        <w:tc>
          <w:tcPr>
            <w:tcW w:w="263" w:type="pct"/>
            <w:hideMark/>
          </w:tcPr>
          <w:p w14:paraId="778A5E6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86%</w:t>
            </w:r>
          </w:p>
        </w:tc>
        <w:tc>
          <w:tcPr>
            <w:tcW w:w="248" w:type="pct"/>
            <w:hideMark/>
          </w:tcPr>
          <w:p w14:paraId="12543A5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92%</w:t>
            </w:r>
          </w:p>
        </w:tc>
        <w:tc>
          <w:tcPr>
            <w:tcW w:w="191" w:type="pct"/>
            <w:hideMark/>
          </w:tcPr>
          <w:p w14:paraId="444FA40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3E547AC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49F632A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26CC9432" w14:textId="77777777" w:rsidTr="00CB21CF">
        <w:trPr>
          <w:trHeight w:val="300"/>
        </w:trPr>
        <w:tc>
          <w:tcPr>
            <w:tcW w:w="1023" w:type="pct"/>
            <w:noWrap/>
            <w:hideMark/>
          </w:tcPr>
          <w:p w14:paraId="160C884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Education</w:t>
            </w:r>
          </w:p>
        </w:tc>
        <w:tc>
          <w:tcPr>
            <w:tcW w:w="344" w:type="pct"/>
            <w:hideMark/>
          </w:tcPr>
          <w:p w14:paraId="79D45C9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FCMV</w:t>
            </w:r>
          </w:p>
        </w:tc>
        <w:tc>
          <w:tcPr>
            <w:tcW w:w="675" w:type="pct"/>
            <w:hideMark/>
          </w:tcPr>
          <w:p w14:paraId="62F0D60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Frontier Culture Museum of Virginia</w:t>
            </w:r>
          </w:p>
        </w:tc>
        <w:tc>
          <w:tcPr>
            <w:tcW w:w="219" w:type="pct"/>
            <w:hideMark/>
          </w:tcPr>
          <w:p w14:paraId="4C50E91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570C24C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07EBA9F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76E3D04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1CBB11EF"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4FABD05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0D63B31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63" w:type="pct"/>
            <w:hideMark/>
          </w:tcPr>
          <w:p w14:paraId="44DADA1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66%</w:t>
            </w:r>
          </w:p>
        </w:tc>
        <w:tc>
          <w:tcPr>
            <w:tcW w:w="248" w:type="pct"/>
            <w:hideMark/>
          </w:tcPr>
          <w:p w14:paraId="1AEC8E0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0012545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5A39D88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7835A8B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62B57F59" w14:textId="77777777" w:rsidTr="00CB21CF">
        <w:trPr>
          <w:trHeight w:val="300"/>
        </w:trPr>
        <w:tc>
          <w:tcPr>
            <w:tcW w:w="1023" w:type="pct"/>
            <w:noWrap/>
            <w:hideMark/>
          </w:tcPr>
          <w:p w14:paraId="115E0FD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Education</w:t>
            </w:r>
          </w:p>
        </w:tc>
        <w:tc>
          <w:tcPr>
            <w:tcW w:w="344" w:type="pct"/>
            <w:hideMark/>
          </w:tcPr>
          <w:p w14:paraId="609378F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GH</w:t>
            </w:r>
          </w:p>
        </w:tc>
        <w:tc>
          <w:tcPr>
            <w:tcW w:w="675" w:type="pct"/>
            <w:hideMark/>
          </w:tcPr>
          <w:p w14:paraId="1495446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Gunston Hall</w:t>
            </w:r>
          </w:p>
        </w:tc>
        <w:tc>
          <w:tcPr>
            <w:tcW w:w="219" w:type="pct"/>
            <w:hideMark/>
          </w:tcPr>
          <w:p w14:paraId="3D6CCEC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124548B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0704471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4A27FB5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7AE15AF1"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326ACDC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4666343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63" w:type="pct"/>
            <w:hideMark/>
          </w:tcPr>
          <w:p w14:paraId="59EE471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252B56F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0AB502E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5D3C127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649DE0F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77BD6A2C" w14:textId="77777777" w:rsidTr="00CB21CF">
        <w:trPr>
          <w:trHeight w:val="300"/>
        </w:trPr>
        <w:tc>
          <w:tcPr>
            <w:tcW w:w="1023" w:type="pct"/>
            <w:noWrap/>
            <w:hideMark/>
          </w:tcPr>
          <w:p w14:paraId="67E3764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Education</w:t>
            </w:r>
          </w:p>
        </w:tc>
        <w:tc>
          <w:tcPr>
            <w:tcW w:w="344" w:type="pct"/>
            <w:hideMark/>
          </w:tcPr>
          <w:p w14:paraId="1C3EB40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JYF</w:t>
            </w:r>
          </w:p>
        </w:tc>
        <w:tc>
          <w:tcPr>
            <w:tcW w:w="675" w:type="pct"/>
            <w:hideMark/>
          </w:tcPr>
          <w:p w14:paraId="2C8C552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Jamestown-Yorktown Foundation</w:t>
            </w:r>
          </w:p>
        </w:tc>
        <w:tc>
          <w:tcPr>
            <w:tcW w:w="219" w:type="pct"/>
            <w:hideMark/>
          </w:tcPr>
          <w:p w14:paraId="1EAB2A8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278C79A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5324D7D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4779EFF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2BF860F4"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72AC324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5311AC2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63" w:type="pct"/>
            <w:hideMark/>
          </w:tcPr>
          <w:p w14:paraId="68053BD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66%</w:t>
            </w:r>
          </w:p>
        </w:tc>
        <w:tc>
          <w:tcPr>
            <w:tcW w:w="248" w:type="pct"/>
            <w:hideMark/>
          </w:tcPr>
          <w:p w14:paraId="2BD5766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89%</w:t>
            </w:r>
          </w:p>
        </w:tc>
        <w:tc>
          <w:tcPr>
            <w:tcW w:w="191" w:type="pct"/>
            <w:hideMark/>
          </w:tcPr>
          <w:p w14:paraId="372B47D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126F224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83%</w:t>
            </w:r>
          </w:p>
        </w:tc>
        <w:tc>
          <w:tcPr>
            <w:tcW w:w="226" w:type="pct"/>
            <w:hideMark/>
          </w:tcPr>
          <w:p w14:paraId="4C83A3B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7BEE150E" w14:textId="77777777" w:rsidTr="00CB21CF">
        <w:trPr>
          <w:trHeight w:val="300"/>
        </w:trPr>
        <w:tc>
          <w:tcPr>
            <w:tcW w:w="1023" w:type="pct"/>
            <w:noWrap/>
            <w:hideMark/>
          </w:tcPr>
          <w:p w14:paraId="389F110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Education</w:t>
            </w:r>
          </w:p>
        </w:tc>
        <w:tc>
          <w:tcPr>
            <w:tcW w:w="344" w:type="pct"/>
            <w:hideMark/>
          </w:tcPr>
          <w:p w14:paraId="495DC4F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LVA</w:t>
            </w:r>
          </w:p>
        </w:tc>
        <w:tc>
          <w:tcPr>
            <w:tcW w:w="675" w:type="pct"/>
            <w:hideMark/>
          </w:tcPr>
          <w:p w14:paraId="2D59F5C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Library of Virginia</w:t>
            </w:r>
          </w:p>
        </w:tc>
        <w:tc>
          <w:tcPr>
            <w:tcW w:w="219" w:type="pct"/>
            <w:hideMark/>
          </w:tcPr>
          <w:p w14:paraId="6F366FB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1667AD1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2267683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741646F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15AE7AE2"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61ACE64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26" w:type="pct"/>
            <w:hideMark/>
          </w:tcPr>
          <w:p w14:paraId="410AF1C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63" w:type="pct"/>
            <w:hideMark/>
          </w:tcPr>
          <w:p w14:paraId="5BEA642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32%</w:t>
            </w:r>
          </w:p>
        </w:tc>
        <w:tc>
          <w:tcPr>
            <w:tcW w:w="248" w:type="pct"/>
            <w:hideMark/>
          </w:tcPr>
          <w:p w14:paraId="4A1094C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7928EFC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3284BDA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296C874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1882FE13" w14:textId="77777777" w:rsidTr="00CB21CF">
        <w:trPr>
          <w:trHeight w:val="300"/>
        </w:trPr>
        <w:tc>
          <w:tcPr>
            <w:tcW w:w="1023" w:type="pct"/>
            <w:noWrap/>
            <w:hideMark/>
          </w:tcPr>
          <w:p w14:paraId="77AAA2C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Education</w:t>
            </w:r>
          </w:p>
        </w:tc>
        <w:tc>
          <w:tcPr>
            <w:tcW w:w="344" w:type="pct"/>
            <w:hideMark/>
          </w:tcPr>
          <w:p w14:paraId="6832E33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NSU</w:t>
            </w:r>
          </w:p>
        </w:tc>
        <w:tc>
          <w:tcPr>
            <w:tcW w:w="675" w:type="pct"/>
            <w:hideMark/>
          </w:tcPr>
          <w:p w14:paraId="0344714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Norfolk State University</w:t>
            </w:r>
          </w:p>
        </w:tc>
        <w:tc>
          <w:tcPr>
            <w:tcW w:w="219" w:type="pct"/>
            <w:hideMark/>
          </w:tcPr>
          <w:p w14:paraId="73B9992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3234BB5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2C03F17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2E533B8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4A20311E"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0%</w:t>
            </w:r>
          </w:p>
        </w:tc>
        <w:tc>
          <w:tcPr>
            <w:tcW w:w="247" w:type="pct"/>
            <w:hideMark/>
          </w:tcPr>
          <w:p w14:paraId="50091BC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087B468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63" w:type="pct"/>
            <w:hideMark/>
          </w:tcPr>
          <w:p w14:paraId="7C4DB3C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61%</w:t>
            </w:r>
          </w:p>
        </w:tc>
        <w:tc>
          <w:tcPr>
            <w:tcW w:w="248" w:type="pct"/>
            <w:hideMark/>
          </w:tcPr>
          <w:p w14:paraId="4BF7F55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33%</w:t>
            </w:r>
          </w:p>
        </w:tc>
        <w:tc>
          <w:tcPr>
            <w:tcW w:w="191" w:type="pct"/>
            <w:hideMark/>
          </w:tcPr>
          <w:p w14:paraId="028B450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335" w:type="pct"/>
            <w:hideMark/>
          </w:tcPr>
          <w:p w14:paraId="33E2CE4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26" w:type="pct"/>
            <w:hideMark/>
          </w:tcPr>
          <w:p w14:paraId="1F10DD0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r>
      <w:tr w:rsidR="00A9394E" w:rsidRPr="003B60CC" w14:paraId="648816F2" w14:textId="77777777" w:rsidTr="00CB21CF">
        <w:trPr>
          <w:trHeight w:val="300"/>
        </w:trPr>
        <w:tc>
          <w:tcPr>
            <w:tcW w:w="1023" w:type="pct"/>
            <w:noWrap/>
            <w:hideMark/>
          </w:tcPr>
          <w:p w14:paraId="7459DCF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Education</w:t>
            </w:r>
          </w:p>
        </w:tc>
        <w:tc>
          <w:tcPr>
            <w:tcW w:w="344" w:type="pct"/>
            <w:hideMark/>
          </w:tcPr>
          <w:p w14:paraId="367DF2A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RBC</w:t>
            </w:r>
          </w:p>
        </w:tc>
        <w:tc>
          <w:tcPr>
            <w:tcW w:w="675" w:type="pct"/>
            <w:hideMark/>
          </w:tcPr>
          <w:p w14:paraId="18D3AAB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Richard Bland College</w:t>
            </w:r>
          </w:p>
        </w:tc>
        <w:tc>
          <w:tcPr>
            <w:tcW w:w="219" w:type="pct"/>
            <w:hideMark/>
          </w:tcPr>
          <w:p w14:paraId="0B482BF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6ACB1FC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0D901ED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6CFB10D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76C2DF6D"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50%</w:t>
            </w:r>
          </w:p>
        </w:tc>
        <w:tc>
          <w:tcPr>
            <w:tcW w:w="247" w:type="pct"/>
            <w:hideMark/>
          </w:tcPr>
          <w:p w14:paraId="2D023D1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26" w:type="pct"/>
            <w:hideMark/>
          </w:tcPr>
          <w:p w14:paraId="49EDF21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73%</w:t>
            </w:r>
          </w:p>
        </w:tc>
        <w:tc>
          <w:tcPr>
            <w:tcW w:w="263" w:type="pct"/>
            <w:hideMark/>
          </w:tcPr>
          <w:p w14:paraId="486C732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54%</w:t>
            </w:r>
          </w:p>
        </w:tc>
        <w:tc>
          <w:tcPr>
            <w:tcW w:w="248" w:type="pct"/>
            <w:hideMark/>
          </w:tcPr>
          <w:p w14:paraId="038A9E7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67%</w:t>
            </w:r>
          </w:p>
        </w:tc>
        <w:tc>
          <w:tcPr>
            <w:tcW w:w="191" w:type="pct"/>
            <w:hideMark/>
          </w:tcPr>
          <w:p w14:paraId="77EE52B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335" w:type="pct"/>
            <w:hideMark/>
          </w:tcPr>
          <w:p w14:paraId="0CE8DAC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26" w:type="pct"/>
            <w:hideMark/>
          </w:tcPr>
          <w:p w14:paraId="5C1DCE1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3D36FCA1" w14:textId="77777777" w:rsidTr="00CB21CF">
        <w:trPr>
          <w:trHeight w:val="300"/>
        </w:trPr>
        <w:tc>
          <w:tcPr>
            <w:tcW w:w="1023" w:type="pct"/>
            <w:noWrap/>
            <w:hideMark/>
          </w:tcPr>
          <w:p w14:paraId="53E52D6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Education</w:t>
            </w:r>
          </w:p>
        </w:tc>
        <w:tc>
          <w:tcPr>
            <w:tcW w:w="344" w:type="pct"/>
            <w:hideMark/>
          </w:tcPr>
          <w:p w14:paraId="1A0CEE4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SCHEV</w:t>
            </w:r>
          </w:p>
        </w:tc>
        <w:tc>
          <w:tcPr>
            <w:tcW w:w="675" w:type="pct"/>
            <w:hideMark/>
          </w:tcPr>
          <w:p w14:paraId="7D1D729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State Council of Higher Education for Virginia</w:t>
            </w:r>
          </w:p>
        </w:tc>
        <w:tc>
          <w:tcPr>
            <w:tcW w:w="219" w:type="pct"/>
            <w:hideMark/>
          </w:tcPr>
          <w:p w14:paraId="6DC27E3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5971295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654C10A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3228926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5985D6FB"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7E95394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25%</w:t>
            </w:r>
          </w:p>
        </w:tc>
        <w:tc>
          <w:tcPr>
            <w:tcW w:w="226" w:type="pct"/>
            <w:hideMark/>
          </w:tcPr>
          <w:p w14:paraId="3DC3D17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1C48306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74%</w:t>
            </w:r>
          </w:p>
        </w:tc>
        <w:tc>
          <w:tcPr>
            <w:tcW w:w="248" w:type="pct"/>
            <w:hideMark/>
          </w:tcPr>
          <w:p w14:paraId="1876B02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75%</w:t>
            </w:r>
          </w:p>
        </w:tc>
        <w:tc>
          <w:tcPr>
            <w:tcW w:w="191" w:type="pct"/>
            <w:hideMark/>
          </w:tcPr>
          <w:p w14:paraId="1C50608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5293A96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26" w:type="pct"/>
            <w:hideMark/>
          </w:tcPr>
          <w:p w14:paraId="05D7B60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573BF966" w14:textId="77777777" w:rsidTr="00CB21CF">
        <w:trPr>
          <w:trHeight w:val="300"/>
        </w:trPr>
        <w:tc>
          <w:tcPr>
            <w:tcW w:w="1023" w:type="pct"/>
            <w:noWrap/>
            <w:hideMark/>
          </w:tcPr>
          <w:p w14:paraId="0186737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Education</w:t>
            </w:r>
          </w:p>
        </w:tc>
        <w:tc>
          <w:tcPr>
            <w:tcW w:w="344" w:type="pct"/>
            <w:hideMark/>
          </w:tcPr>
          <w:p w14:paraId="1E07B6C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SMV</w:t>
            </w:r>
          </w:p>
        </w:tc>
        <w:tc>
          <w:tcPr>
            <w:tcW w:w="675" w:type="pct"/>
            <w:hideMark/>
          </w:tcPr>
          <w:p w14:paraId="28FBCC6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Science Museum of Virginia</w:t>
            </w:r>
          </w:p>
        </w:tc>
        <w:tc>
          <w:tcPr>
            <w:tcW w:w="219" w:type="pct"/>
            <w:hideMark/>
          </w:tcPr>
          <w:p w14:paraId="5EDC93A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4F19007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0D32A29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6A94C69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68933DC2"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73B5307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0910274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14%</w:t>
            </w:r>
          </w:p>
        </w:tc>
        <w:tc>
          <w:tcPr>
            <w:tcW w:w="263" w:type="pct"/>
            <w:hideMark/>
          </w:tcPr>
          <w:p w14:paraId="4BBFD2E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71%</w:t>
            </w:r>
          </w:p>
        </w:tc>
        <w:tc>
          <w:tcPr>
            <w:tcW w:w="248" w:type="pct"/>
            <w:hideMark/>
          </w:tcPr>
          <w:p w14:paraId="190A579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83%</w:t>
            </w:r>
          </w:p>
        </w:tc>
        <w:tc>
          <w:tcPr>
            <w:tcW w:w="191" w:type="pct"/>
            <w:hideMark/>
          </w:tcPr>
          <w:p w14:paraId="3CCED86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6650C91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26" w:type="pct"/>
            <w:hideMark/>
          </w:tcPr>
          <w:p w14:paraId="4440A51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4BF99F78" w14:textId="77777777" w:rsidTr="00CB21CF">
        <w:trPr>
          <w:trHeight w:val="300"/>
        </w:trPr>
        <w:tc>
          <w:tcPr>
            <w:tcW w:w="1023" w:type="pct"/>
            <w:noWrap/>
            <w:hideMark/>
          </w:tcPr>
          <w:p w14:paraId="32DBA82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Education</w:t>
            </w:r>
          </w:p>
        </w:tc>
        <w:tc>
          <w:tcPr>
            <w:tcW w:w="344" w:type="pct"/>
            <w:hideMark/>
          </w:tcPr>
          <w:p w14:paraId="2FCEC1C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SVHEC</w:t>
            </w:r>
          </w:p>
        </w:tc>
        <w:tc>
          <w:tcPr>
            <w:tcW w:w="675" w:type="pct"/>
            <w:hideMark/>
          </w:tcPr>
          <w:p w14:paraId="29EDA2F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Southern Virginia Higher Education Center</w:t>
            </w:r>
          </w:p>
        </w:tc>
        <w:tc>
          <w:tcPr>
            <w:tcW w:w="219" w:type="pct"/>
            <w:hideMark/>
          </w:tcPr>
          <w:p w14:paraId="1C91171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052F02B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778876B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493ECF2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099CE282"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62AA4D9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3A6ECAA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63" w:type="pct"/>
            <w:hideMark/>
          </w:tcPr>
          <w:p w14:paraId="4761691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7F09A44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83%</w:t>
            </w:r>
          </w:p>
        </w:tc>
        <w:tc>
          <w:tcPr>
            <w:tcW w:w="191" w:type="pct"/>
            <w:hideMark/>
          </w:tcPr>
          <w:p w14:paraId="2FF0C4A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42B4709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1F4F2BD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4C6904B9" w14:textId="77777777" w:rsidTr="00CB21CF">
        <w:trPr>
          <w:trHeight w:val="300"/>
        </w:trPr>
        <w:tc>
          <w:tcPr>
            <w:tcW w:w="1023" w:type="pct"/>
            <w:noWrap/>
            <w:hideMark/>
          </w:tcPr>
          <w:p w14:paraId="4267921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Education</w:t>
            </w:r>
          </w:p>
        </w:tc>
        <w:tc>
          <w:tcPr>
            <w:tcW w:w="344" w:type="pct"/>
            <w:hideMark/>
          </w:tcPr>
          <w:p w14:paraId="1A5B56F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SWVHEC</w:t>
            </w:r>
          </w:p>
        </w:tc>
        <w:tc>
          <w:tcPr>
            <w:tcW w:w="675" w:type="pct"/>
            <w:hideMark/>
          </w:tcPr>
          <w:p w14:paraId="3D25065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Southwest Virginia Higher Education Center</w:t>
            </w:r>
          </w:p>
        </w:tc>
        <w:tc>
          <w:tcPr>
            <w:tcW w:w="219" w:type="pct"/>
            <w:hideMark/>
          </w:tcPr>
          <w:p w14:paraId="50704C8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7F34E7F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2BB360B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N/C</w:t>
            </w:r>
          </w:p>
        </w:tc>
        <w:tc>
          <w:tcPr>
            <w:tcW w:w="245" w:type="pct"/>
            <w:hideMark/>
          </w:tcPr>
          <w:p w14:paraId="1B924E0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N/C</w:t>
            </w:r>
          </w:p>
        </w:tc>
        <w:tc>
          <w:tcPr>
            <w:tcW w:w="226" w:type="pct"/>
            <w:hideMark/>
          </w:tcPr>
          <w:p w14:paraId="56C864EB"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N/C</w:t>
            </w:r>
          </w:p>
        </w:tc>
        <w:tc>
          <w:tcPr>
            <w:tcW w:w="247" w:type="pct"/>
            <w:hideMark/>
          </w:tcPr>
          <w:p w14:paraId="60D4674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4F8C16A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63" w:type="pct"/>
            <w:hideMark/>
          </w:tcPr>
          <w:p w14:paraId="4C4E773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34%</w:t>
            </w:r>
          </w:p>
        </w:tc>
        <w:tc>
          <w:tcPr>
            <w:tcW w:w="248" w:type="pct"/>
            <w:hideMark/>
          </w:tcPr>
          <w:p w14:paraId="79402B5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191" w:type="pct"/>
            <w:hideMark/>
          </w:tcPr>
          <w:p w14:paraId="2DCB381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335" w:type="pct"/>
            <w:hideMark/>
          </w:tcPr>
          <w:p w14:paraId="6834A17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26" w:type="pct"/>
            <w:hideMark/>
          </w:tcPr>
          <w:p w14:paraId="4622AEB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r>
      <w:tr w:rsidR="00A9394E" w:rsidRPr="003B60CC" w14:paraId="6C7962C9" w14:textId="77777777" w:rsidTr="00CB21CF">
        <w:trPr>
          <w:trHeight w:val="300"/>
        </w:trPr>
        <w:tc>
          <w:tcPr>
            <w:tcW w:w="1023" w:type="pct"/>
            <w:noWrap/>
            <w:hideMark/>
          </w:tcPr>
          <w:p w14:paraId="73E70F2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Education</w:t>
            </w:r>
          </w:p>
        </w:tc>
        <w:tc>
          <w:tcPr>
            <w:tcW w:w="344" w:type="pct"/>
            <w:hideMark/>
          </w:tcPr>
          <w:p w14:paraId="023C9B1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VCA</w:t>
            </w:r>
          </w:p>
        </w:tc>
        <w:tc>
          <w:tcPr>
            <w:tcW w:w="675" w:type="pct"/>
            <w:hideMark/>
          </w:tcPr>
          <w:p w14:paraId="6A159D7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Commission for the Arts</w:t>
            </w:r>
          </w:p>
        </w:tc>
        <w:tc>
          <w:tcPr>
            <w:tcW w:w="219" w:type="pct"/>
            <w:hideMark/>
          </w:tcPr>
          <w:p w14:paraId="5A4794B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0721D65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3828FD4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N/C</w:t>
            </w:r>
          </w:p>
        </w:tc>
        <w:tc>
          <w:tcPr>
            <w:tcW w:w="245" w:type="pct"/>
            <w:hideMark/>
          </w:tcPr>
          <w:p w14:paraId="178A858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N/C</w:t>
            </w:r>
          </w:p>
        </w:tc>
        <w:tc>
          <w:tcPr>
            <w:tcW w:w="226" w:type="pct"/>
            <w:hideMark/>
          </w:tcPr>
          <w:p w14:paraId="38319756"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N/C</w:t>
            </w:r>
          </w:p>
        </w:tc>
        <w:tc>
          <w:tcPr>
            <w:tcW w:w="247" w:type="pct"/>
            <w:hideMark/>
          </w:tcPr>
          <w:p w14:paraId="61878B6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27FC652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63" w:type="pct"/>
            <w:hideMark/>
          </w:tcPr>
          <w:p w14:paraId="18C18ED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34%</w:t>
            </w:r>
          </w:p>
        </w:tc>
        <w:tc>
          <w:tcPr>
            <w:tcW w:w="248" w:type="pct"/>
            <w:hideMark/>
          </w:tcPr>
          <w:p w14:paraId="5491A9B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33%</w:t>
            </w:r>
          </w:p>
        </w:tc>
        <w:tc>
          <w:tcPr>
            <w:tcW w:w="191" w:type="pct"/>
            <w:hideMark/>
          </w:tcPr>
          <w:p w14:paraId="7329BD7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335" w:type="pct"/>
            <w:hideMark/>
          </w:tcPr>
          <w:p w14:paraId="2357014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26" w:type="pct"/>
            <w:hideMark/>
          </w:tcPr>
          <w:p w14:paraId="5BD8184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r>
      <w:tr w:rsidR="00A9394E" w:rsidRPr="003B60CC" w14:paraId="2F27F4F5" w14:textId="77777777" w:rsidTr="00CB21CF">
        <w:trPr>
          <w:trHeight w:val="300"/>
        </w:trPr>
        <w:tc>
          <w:tcPr>
            <w:tcW w:w="1023" w:type="pct"/>
            <w:noWrap/>
            <w:hideMark/>
          </w:tcPr>
          <w:p w14:paraId="07CFAFC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Education</w:t>
            </w:r>
          </w:p>
        </w:tc>
        <w:tc>
          <w:tcPr>
            <w:tcW w:w="344" w:type="pct"/>
            <w:hideMark/>
          </w:tcPr>
          <w:p w14:paraId="459761C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VMFA</w:t>
            </w:r>
          </w:p>
        </w:tc>
        <w:tc>
          <w:tcPr>
            <w:tcW w:w="675" w:type="pct"/>
            <w:hideMark/>
          </w:tcPr>
          <w:p w14:paraId="5B8DD14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Museum of Fine Arts</w:t>
            </w:r>
          </w:p>
        </w:tc>
        <w:tc>
          <w:tcPr>
            <w:tcW w:w="219" w:type="pct"/>
            <w:hideMark/>
          </w:tcPr>
          <w:p w14:paraId="6AA2520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7032C4F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66BA33E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10671E5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5F0379CB"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2364559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26" w:type="pct"/>
            <w:hideMark/>
          </w:tcPr>
          <w:p w14:paraId="5B332F9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63" w:type="pct"/>
            <w:hideMark/>
          </w:tcPr>
          <w:p w14:paraId="55B6334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32%</w:t>
            </w:r>
          </w:p>
        </w:tc>
        <w:tc>
          <w:tcPr>
            <w:tcW w:w="248" w:type="pct"/>
            <w:hideMark/>
          </w:tcPr>
          <w:p w14:paraId="49DA598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83%</w:t>
            </w:r>
          </w:p>
        </w:tc>
        <w:tc>
          <w:tcPr>
            <w:tcW w:w="191" w:type="pct"/>
            <w:hideMark/>
          </w:tcPr>
          <w:p w14:paraId="58A959F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73EE703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26" w:type="pct"/>
            <w:hideMark/>
          </w:tcPr>
          <w:p w14:paraId="1D52D88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06C4F2C5" w14:textId="77777777" w:rsidTr="00CB21CF">
        <w:trPr>
          <w:trHeight w:val="300"/>
        </w:trPr>
        <w:tc>
          <w:tcPr>
            <w:tcW w:w="1023" w:type="pct"/>
            <w:noWrap/>
            <w:hideMark/>
          </w:tcPr>
          <w:p w14:paraId="2AED2EC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Education</w:t>
            </w:r>
          </w:p>
        </w:tc>
        <w:tc>
          <w:tcPr>
            <w:tcW w:w="344" w:type="pct"/>
            <w:hideMark/>
          </w:tcPr>
          <w:p w14:paraId="68283E9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VSDB</w:t>
            </w:r>
          </w:p>
        </w:tc>
        <w:tc>
          <w:tcPr>
            <w:tcW w:w="675" w:type="pct"/>
            <w:hideMark/>
          </w:tcPr>
          <w:p w14:paraId="6AF7015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School for the Deaf and Blind</w:t>
            </w:r>
          </w:p>
        </w:tc>
        <w:tc>
          <w:tcPr>
            <w:tcW w:w="219" w:type="pct"/>
            <w:hideMark/>
          </w:tcPr>
          <w:p w14:paraId="20FAA36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4A5B363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283C356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28DA4EB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5A0AC48E"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6A23620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6A73F28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63" w:type="pct"/>
            <w:hideMark/>
          </w:tcPr>
          <w:p w14:paraId="7D2C961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66%</w:t>
            </w:r>
          </w:p>
        </w:tc>
        <w:tc>
          <w:tcPr>
            <w:tcW w:w="248" w:type="pct"/>
            <w:hideMark/>
          </w:tcPr>
          <w:p w14:paraId="3286B0C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83%</w:t>
            </w:r>
          </w:p>
        </w:tc>
        <w:tc>
          <w:tcPr>
            <w:tcW w:w="191" w:type="pct"/>
            <w:hideMark/>
          </w:tcPr>
          <w:p w14:paraId="74393DA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52FFFF3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26" w:type="pct"/>
            <w:hideMark/>
          </w:tcPr>
          <w:p w14:paraId="41EE09D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11B10885" w14:textId="77777777" w:rsidTr="00CB21CF">
        <w:trPr>
          <w:trHeight w:val="300"/>
        </w:trPr>
        <w:tc>
          <w:tcPr>
            <w:tcW w:w="1023" w:type="pct"/>
            <w:noWrap/>
            <w:hideMark/>
          </w:tcPr>
          <w:p w14:paraId="4CA2349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Education</w:t>
            </w:r>
          </w:p>
        </w:tc>
        <w:tc>
          <w:tcPr>
            <w:tcW w:w="344" w:type="pct"/>
            <w:hideMark/>
          </w:tcPr>
          <w:p w14:paraId="05C7D06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VSU</w:t>
            </w:r>
          </w:p>
        </w:tc>
        <w:tc>
          <w:tcPr>
            <w:tcW w:w="675" w:type="pct"/>
            <w:hideMark/>
          </w:tcPr>
          <w:p w14:paraId="5D92F9E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State University</w:t>
            </w:r>
          </w:p>
        </w:tc>
        <w:tc>
          <w:tcPr>
            <w:tcW w:w="219" w:type="pct"/>
            <w:hideMark/>
          </w:tcPr>
          <w:p w14:paraId="6A8AD24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6AB1340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2B25A24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5DD0087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10E18251"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3651230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61B9E04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32DE76C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1B7FD92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99%</w:t>
            </w:r>
          </w:p>
        </w:tc>
        <w:tc>
          <w:tcPr>
            <w:tcW w:w="191" w:type="pct"/>
            <w:hideMark/>
          </w:tcPr>
          <w:p w14:paraId="12BBA39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437F7E3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92%</w:t>
            </w:r>
          </w:p>
        </w:tc>
        <w:tc>
          <w:tcPr>
            <w:tcW w:w="226" w:type="pct"/>
            <w:hideMark/>
          </w:tcPr>
          <w:p w14:paraId="0D1A043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1795F4CC" w14:textId="77777777" w:rsidTr="00CB21CF">
        <w:trPr>
          <w:trHeight w:val="300"/>
        </w:trPr>
        <w:tc>
          <w:tcPr>
            <w:tcW w:w="1023" w:type="pct"/>
            <w:noWrap/>
            <w:hideMark/>
          </w:tcPr>
          <w:p w14:paraId="4FA0A21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Executive</w:t>
            </w:r>
          </w:p>
        </w:tc>
        <w:tc>
          <w:tcPr>
            <w:tcW w:w="344" w:type="pct"/>
            <w:hideMark/>
          </w:tcPr>
          <w:p w14:paraId="6076588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GOV</w:t>
            </w:r>
          </w:p>
        </w:tc>
        <w:tc>
          <w:tcPr>
            <w:tcW w:w="675" w:type="pct"/>
            <w:hideMark/>
          </w:tcPr>
          <w:p w14:paraId="372EA0D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Office of the Governor</w:t>
            </w:r>
          </w:p>
        </w:tc>
        <w:tc>
          <w:tcPr>
            <w:tcW w:w="219" w:type="pct"/>
            <w:hideMark/>
          </w:tcPr>
          <w:p w14:paraId="12DD064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44460DF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4E9347A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032F9F1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54F7FB25"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486A8B9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3A7A05D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63" w:type="pct"/>
            <w:hideMark/>
          </w:tcPr>
          <w:p w14:paraId="763E9E6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66%</w:t>
            </w:r>
          </w:p>
        </w:tc>
        <w:tc>
          <w:tcPr>
            <w:tcW w:w="248" w:type="pct"/>
            <w:hideMark/>
          </w:tcPr>
          <w:p w14:paraId="5B4F05E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01A2ED0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626AF0A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3B9F978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6D43AB66" w14:textId="77777777" w:rsidTr="00CB21CF">
        <w:trPr>
          <w:trHeight w:val="300"/>
        </w:trPr>
        <w:tc>
          <w:tcPr>
            <w:tcW w:w="1023" w:type="pct"/>
            <w:noWrap/>
            <w:hideMark/>
          </w:tcPr>
          <w:p w14:paraId="6EDD04C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Executive</w:t>
            </w:r>
          </w:p>
        </w:tc>
        <w:tc>
          <w:tcPr>
            <w:tcW w:w="344" w:type="pct"/>
            <w:hideMark/>
          </w:tcPr>
          <w:p w14:paraId="300D623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OAG</w:t>
            </w:r>
          </w:p>
        </w:tc>
        <w:tc>
          <w:tcPr>
            <w:tcW w:w="675" w:type="pct"/>
            <w:hideMark/>
          </w:tcPr>
          <w:p w14:paraId="0C7DD80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Office of Attorney General</w:t>
            </w:r>
          </w:p>
        </w:tc>
        <w:tc>
          <w:tcPr>
            <w:tcW w:w="219" w:type="pct"/>
            <w:hideMark/>
          </w:tcPr>
          <w:p w14:paraId="52D5950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66C228F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41AB8C1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6D2B075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N/C</w:t>
            </w:r>
          </w:p>
        </w:tc>
        <w:tc>
          <w:tcPr>
            <w:tcW w:w="226" w:type="pct"/>
            <w:hideMark/>
          </w:tcPr>
          <w:p w14:paraId="26C516B5"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N/C</w:t>
            </w:r>
          </w:p>
        </w:tc>
        <w:tc>
          <w:tcPr>
            <w:tcW w:w="247" w:type="pct"/>
            <w:hideMark/>
          </w:tcPr>
          <w:p w14:paraId="7204D48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26" w:type="pct"/>
            <w:hideMark/>
          </w:tcPr>
          <w:p w14:paraId="3E5A106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63" w:type="pct"/>
            <w:hideMark/>
          </w:tcPr>
          <w:p w14:paraId="2034966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48" w:type="pct"/>
            <w:hideMark/>
          </w:tcPr>
          <w:p w14:paraId="1C7A32A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33%</w:t>
            </w:r>
          </w:p>
        </w:tc>
        <w:tc>
          <w:tcPr>
            <w:tcW w:w="191" w:type="pct"/>
            <w:hideMark/>
          </w:tcPr>
          <w:p w14:paraId="16F6E11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335" w:type="pct"/>
            <w:hideMark/>
          </w:tcPr>
          <w:p w14:paraId="18267C8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26" w:type="pct"/>
            <w:hideMark/>
          </w:tcPr>
          <w:p w14:paraId="17836DC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r>
      <w:tr w:rsidR="00A9394E" w:rsidRPr="003B60CC" w14:paraId="1E177292" w14:textId="77777777" w:rsidTr="00CB21CF">
        <w:trPr>
          <w:trHeight w:val="300"/>
        </w:trPr>
        <w:tc>
          <w:tcPr>
            <w:tcW w:w="1023" w:type="pct"/>
            <w:noWrap/>
            <w:hideMark/>
          </w:tcPr>
          <w:p w14:paraId="5813694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Executive</w:t>
            </w:r>
          </w:p>
        </w:tc>
        <w:tc>
          <w:tcPr>
            <w:tcW w:w="344" w:type="pct"/>
            <w:hideMark/>
          </w:tcPr>
          <w:p w14:paraId="7BBBBBE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OSIG</w:t>
            </w:r>
          </w:p>
        </w:tc>
        <w:tc>
          <w:tcPr>
            <w:tcW w:w="675" w:type="pct"/>
            <w:hideMark/>
          </w:tcPr>
          <w:p w14:paraId="6C24CD0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Office of State Inspector General</w:t>
            </w:r>
          </w:p>
        </w:tc>
        <w:tc>
          <w:tcPr>
            <w:tcW w:w="219" w:type="pct"/>
            <w:hideMark/>
          </w:tcPr>
          <w:p w14:paraId="5ADAA19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1077120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42FB520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3E8705A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5CF09E19"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15EE1B6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6A9DC44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417F1E9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44C6A34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98%</w:t>
            </w:r>
          </w:p>
        </w:tc>
        <w:tc>
          <w:tcPr>
            <w:tcW w:w="191" w:type="pct"/>
            <w:hideMark/>
          </w:tcPr>
          <w:p w14:paraId="1372119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1A1995F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6299E7F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89%</w:t>
            </w:r>
          </w:p>
        </w:tc>
      </w:tr>
      <w:tr w:rsidR="00A9394E" w:rsidRPr="003B60CC" w14:paraId="1D32F25D" w14:textId="77777777" w:rsidTr="00CB21CF">
        <w:trPr>
          <w:trHeight w:val="300"/>
        </w:trPr>
        <w:tc>
          <w:tcPr>
            <w:tcW w:w="1023" w:type="pct"/>
            <w:noWrap/>
            <w:hideMark/>
          </w:tcPr>
          <w:p w14:paraId="0492FBF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Finance</w:t>
            </w:r>
          </w:p>
        </w:tc>
        <w:tc>
          <w:tcPr>
            <w:tcW w:w="344" w:type="pct"/>
            <w:hideMark/>
          </w:tcPr>
          <w:p w14:paraId="15D9240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DOA</w:t>
            </w:r>
          </w:p>
        </w:tc>
        <w:tc>
          <w:tcPr>
            <w:tcW w:w="675" w:type="pct"/>
            <w:hideMark/>
          </w:tcPr>
          <w:p w14:paraId="4647C63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Accounts</w:t>
            </w:r>
          </w:p>
        </w:tc>
        <w:tc>
          <w:tcPr>
            <w:tcW w:w="219" w:type="pct"/>
            <w:hideMark/>
          </w:tcPr>
          <w:p w14:paraId="4A8CAD4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11E099E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707DA26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1ECB9DE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0474D2ED"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10CC903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12C43CD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0D5F78F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22B0B30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6FD049A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24A6D4D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2F407DC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1DAB5641" w14:textId="77777777" w:rsidTr="00CB21CF">
        <w:trPr>
          <w:trHeight w:val="300"/>
        </w:trPr>
        <w:tc>
          <w:tcPr>
            <w:tcW w:w="1023" w:type="pct"/>
            <w:noWrap/>
            <w:hideMark/>
          </w:tcPr>
          <w:p w14:paraId="46889CB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Finance</w:t>
            </w:r>
          </w:p>
        </w:tc>
        <w:tc>
          <w:tcPr>
            <w:tcW w:w="344" w:type="pct"/>
            <w:hideMark/>
          </w:tcPr>
          <w:p w14:paraId="01F03A6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DPB</w:t>
            </w:r>
          </w:p>
        </w:tc>
        <w:tc>
          <w:tcPr>
            <w:tcW w:w="675" w:type="pct"/>
            <w:hideMark/>
          </w:tcPr>
          <w:p w14:paraId="77FC22F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Planning and Budget</w:t>
            </w:r>
          </w:p>
        </w:tc>
        <w:tc>
          <w:tcPr>
            <w:tcW w:w="219" w:type="pct"/>
            <w:hideMark/>
          </w:tcPr>
          <w:p w14:paraId="1ED5DFA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0DF2FC5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3DC75F2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249B762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7B10751B"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41697CD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06E699C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57A602B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16C312C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54B33BA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7B04185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67275F1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12472DD3" w14:textId="77777777" w:rsidTr="00CB21CF">
        <w:trPr>
          <w:trHeight w:val="300"/>
        </w:trPr>
        <w:tc>
          <w:tcPr>
            <w:tcW w:w="1023" w:type="pct"/>
            <w:noWrap/>
            <w:hideMark/>
          </w:tcPr>
          <w:p w14:paraId="5118AD3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Finance</w:t>
            </w:r>
          </w:p>
        </w:tc>
        <w:tc>
          <w:tcPr>
            <w:tcW w:w="344" w:type="pct"/>
            <w:hideMark/>
          </w:tcPr>
          <w:p w14:paraId="3AB9FA4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TAX</w:t>
            </w:r>
          </w:p>
        </w:tc>
        <w:tc>
          <w:tcPr>
            <w:tcW w:w="675" w:type="pct"/>
            <w:hideMark/>
          </w:tcPr>
          <w:p w14:paraId="0BC2A9A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Taxation</w:t>
            </w:r>
          </w:p>
        </w:tc>
        <w:tc>
          <w:tcPr>
            <w:tcW w:w="219" w:type="pct"/>
            <w:hideMark/>
          </w:tcPr>
          <w:p w14:paraId="45F3C9F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3498794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587068A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6B6B0DA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04F6C038"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0938D90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64EA62E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96%</w:t>
            </w:r>
          </w:p>
        </w:tc>
        <w:tc>
          <w:tcPr>
            <w:tcW w:w="263" w:type="pct"/>
            <w:hideMark/>
          </w:tcPr>
          <w:p w14:paraId="0EE0A90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99%</w:t>
            </w:r>
          </w:p>
        </w:tc>
        <w:tc>
          <w:tcPr>
            <w:tcW w:w="248" w:type="pct"/>
            <w:hideMark/>
          </w:tcPr>
          <w:p w14:paraId="5BC085F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42%</w:t>
            </w:r>
          </w:p>
        </w:tc>
        <w:tc>
          <w:tcPr>
            <w:tcW w:w="191" w:type="pct"/>
            <w:hideMark/>
          </w:tcPr>
          <w:p w14:paraId="03DF750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335" w:type="pct"/>
            <w:hideMark/>
          </w:tcPr>
          <w:p w14:paraId="2E9A28E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26" w:type="pct"/>
            <w:hideMark/>
          </w:tcPr>
          <w:p w14:paraId="6B20BE3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r>
      <w:tr w:rsidR="00A9394E" w:rsidRPr="003B60CC" w14:paraId="5D99FC4B" w14:textId="77777777" w:rsidTr="00CB21CF">
        <w:trPr>
          <w:trHeight w:val="300"/>
        </w:trPr>
        <w:tc>
          <w:tcPr>
            <w:tcW w:w="1023" w:type="pct"/>
            <w:noWrap/>
            <w:hideMark/>
          </w:tcPr>
          <w:p w14:paraId="4FB5B61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Finance</w:t>
            </w:r>
          </w:p>
        </w:tc>
        <w:tc>
          <w:tcPr>
            <w:tcW w:w="344" w:type="pct"/>
            <w:hideMark/>
          </w:tcPr>
          <w:p w14:paraId="09168FC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TD</w:t>
            </w:r>
          </w:p>
        </w:tc>
        <w:tc>
          <w:tcPr>
            <w:tcW w:w="675" w:type="pct"/>
            <w:hideMark/>
          </w:tcPr>
          <w:p w14:paraId="4196AAD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Treasury</w:t>
            </w:r>
          </w:p>
        </w:tc>
        <w:tc>
          <w:tcPr>
            <w:tcW w:w="219" w:type="pct"/>
            <w:hideMark/>
          </w:tcPr>
          <w:p w14:paraId="4C2418D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1FDA1F8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0DF7C6E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7596250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1C1704E3"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3A234AA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73%</w:t>
            </w:r>
          </w:p>
        </w:tc>
        <w:tc>
          <w:tcPr>
            <w:tcW w:w="226" w:type="pct"/>
            <w:hideMark/>
          </w:tcPr>
          <w:p w14:paraId="76F4193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95%</w:t>
            </w:r>
          </w:p>
        </w:tc>
        <w:tc>
          <w:tcPr>
            <w:tcW w:w="263" w:type="pct"/>
            <w:hideMark/>
          </w:tcPr>
          <w:p w14:paraId="0D77914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89%</w:t>
            </w:r>
          </w:p>
        </w:tc>
        <w:tc>
          <w:tcPr>
            <w:tcW w:w="248" w:type="pct"/>
            <w:hideMark/>
          </w:tcPr>
          <w:p w14:paraId="3F0CD28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99%</w:t>
            </w:r>
          </w:p>
        </w:tc>
        <w:tc>
          <w:tcPr>
            <w:tcW w:w="191" w:type="pct"/>
            <w:hideMark/>
          </w:tcPr>
          <w:p w14:paraId="69F4F29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750C30A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95%</w:t>
            </w:r>
          </w:p>
        </w:tc>
        <w:tc>
          <w:tcPr>
            <w:tcW w:w="226" w:type="pct"/>
            <w:hideMark/>
          </w:tcPr>
          <w:p w14:paraId="6FB3324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5EA165B6" w14:textId="77777777" w:rsidTr="00CB21CF">
        <w:trPr>
          <w:trHeight w:val="300"/>
        </w:trPr>
        <w:tc>
          <w:tcPr>
            <w:tcW w:w="1023" w:type="pct"/>
            <w:noWrap/>
            <w:hideMark/>
          </w:tcPr>
          <w:p w14:paraId="7770B70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Finance</w:t>
            </w:r>
          </w:p>
        </w:tc>
        <w:tc>
          <w:tcPr>
            <w:tcW w:w="344" w:type="pct"/>
            <w:hideMark/>
          </w:tcPr>
          <w:p w14:paraId="3A29F24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VRA</w:t>
            </w:r>
          </w:p>
        </w:tc>
        <w:tc>
          <w:tcPr>
            <w:tcW w:w="675" w:type="pct"/>
            <w:hideMark/>
          </w:tcPr>
          <w:p w14:paraId="763FDE1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Resources Authority</w:t>
            </w:r>
          </w:p>
        </w:tc>
        <w:tc>
          <w:tcPr>
            <w:tcW w:w="219" w:type="pct"/>
            <w:hideMark/>
          </w:tcPr>
          <w:p w14:paraId="0B36F0F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55C715D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519C9D7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00527E7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N/C</w:t>
            </w:r>
          </w:p>
        </w:tc>
        <w:tc>
          <w:tcPr>
            <w:tcW w:w="226" w:type="pct"/>
            <w:hideMark/>
          </w:tcPr>
          <w:p w14:paraId="77CB05C1"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N/C</w:t>
            </w:r>
          </w:p>
        </w:tc>
        <w:tc>
          <w:tcPr>
            <w:tcW w:w="247" w:type="pct"/>
            <w:hideMark/>
          </w:tcPr>
          <w:p w14:paraId="42A8AB7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5BC78B3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63" w:type="pct"/>
            <w:hideMark/>
          </w:tcPr>
          <w:p w14:paraId="113393C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34%</w:t>
            </w:r>
          </w:p>
        </w:tc>
        <w:tc>
          <w:tcPr>
            <w:tcW w:w="248" w:type="pct"/>
            <w:hideMark/>
          </w:tcPr>
          <w:p w14:paraId="02B9A70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50%</w:t>
            </w:r>
          </w:p>
        </w:tc>
        <w:tc>
          <w:tcPr>
            <w:tcW w:w="191" w:type="pct"/>
            <w:hideMark/>
          </w:tcPr>
          <w:p w14:paraId="274A11B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335" w:type="pct"/>
            <w:hideMark/>
          </w:tcPr>
          <w:p w14:paraId="5F9730B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26" w:type="pct"/>
            <w:hideMark/>
          </w:tcPr>
          <w:p w14:paraId="4635B28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r>
      <w:tr w:rsidR="00A9394E" w:rsidRPr="003B60CC" w14:paraId="36361D79" w14:textId="77777777" w:rsidTr="00CB21CF">
        <w:trPr>
          <w:trHeight w:val="300"/>
        </w:trPr>
        <w:tc>
          <w:tcPr>
            <w:tcW w:w="1023" w:type="pct"/>
            <w:noWrap/>
            <w:hideMark/>
          </w:tcPr>
          <w:p w14:paraId="70C7E9A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Health and Human Resources</w:t>
            </w:r>
          </w:p>
        </w:tc>
        <w:tc>
          <w:tcPr>
            <w:tcW w:w="344" w:type="pct"/>
            <w:hideMark/>
          </w:tcPr>
          <w:p w14:paraId="405CAE0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CSA</w:t>
            </w:r>
          </w:p>
        </w:tc>
        <w:tc>
          <w:tcPr>
            <w:tcW w:w="675" w:type="pct"/>
            <w:hideMark/>
          </w:tcPr>
          <w:p w14:paraId="3E8BFE2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Office for Children's Services</w:t>
            </w:r>
          </w:p>
        </w:tc>
        <w:tc>
          <w:tcPr>
            <w:tcW w:w="219" w:type="pct"/>
            <w:hideMark/>
          </w:tcPr>
          <w:p w14:paraId="1BA21B4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34FE197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132492F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7D26332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3D84D521"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N/C</w:t>
            </w:r>
          </w:p>
        </w:tc>
        <w:tc>
          <w:tcPr>
            <w:tcW w:w="247" w:type="pct"/>
            <w:hideMark/>
          </w:tcPr>
          <w:p w14:paraId="2BF11FC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26" w:type="pct"/>
            <w:hideMark/>
          </w:tcPr>
          <w:p w14:paraId="5C5D693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63" w:type="pct"/>
            <w:hideMark/>
          </w:tcPr>
          <w:p w14:paraId="06994A5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27%</w:t>
            </w:r>
          </w:p>
        </w:tc>
        <w:tc>
          <w:tcPr>
            <w:tcW w:w="248" w:type="pct"/>
            <w:hideMark/>
          </w:tcPr>
          <w:p w14:paraId="41C6387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79%</w:t>
            </w:r>
          </w:p>
        </w:tc>
        <w:tc>
          <w:tcPr>
            <w:tcW w:w="191" w:type="pct"/>
            <w:hideMark/>
          </w:tcPr>
          <w:p w14:paraId="6C70D19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3F24AB8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60%</w:t>
            </w:r>
          </w:p>
        </w:tc>
        <w:tc>
          <w:tcPr>
            <w:tcW w:w="226" w:type="pct"/>
            <w:hideMark/>
          </w:tcPr>
          <w:p w14:paraId="7CD60E1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14%</w:t>
            </w:r>
          </w:p>
        </w:tc>
      </w:tr>
      <w:tr w:rsidR="00A9394E" w:rsidRPr="003B60CC" w14:paraId="0499F86E" w14:textId="77777777" w:rsidTr="00CB21CF">
        <w:trPr>
          <w:trHeight w:val="300"/>
        </w:trPr>
        <w:tc>
          <w:tcPr>
            <w:tcW w:w="1023" w:type="pct"/>
            <w:noWrap/>
            <w:hideMark/>
          </w:tcPr>
          <w:p w14:paraId="55156AB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Health and Human Resources</w:t>
            </w:r>
          </w:p>
        </w:tc>
        <w:tc>
          <w:tcPr>
            <w:tcW w:w="344" w:type="pct"/>
            <w:hideMark/>
          </w:tcPr>
          <w:p w14:paraId="31AC04C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DARS</w:t>
            </w:r>
          </w:p>
        </w:tc>
        <w:tc>
          <w:tcPr>
            <w:tcW w:w="675" w:type="pct"/>
            <w:hideMark/>
          </w:tcPr>
          <w:p w14:paraId="2F407B1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for Aging and Rehabilitative Services</w:t>
            </w:r>
          </w:p>
        </w:tc>
        <w:tc>
          <w:tcPr>
            <w:tcW w:w="219" w:type="pct"/>
            <w:hideMark/>
          </w:tcPr>
          <w:p w14:paraId="57BF2D0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5C2F08D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1372C26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34998A6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015FF4E8"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5943071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7B7356D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12D773D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6E83AAA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87%</w:t>
            </w:r>
          </w:p>
        </w:tc>
        <w:tc>
          <w:tcPr>
            <w:tcW w:w="191" w:type="pct"/>
            <w:hideMark/>
          </w:tcPr>
          <w:p w14:paraId="4C361D8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5316EC7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22%</w:t>
            </w:r>
          </w:p>
        </w:tc>
        <w:tc>
          <w:tcPr>
            <w:tcW w:w="226" w:type="pct"/>
            <w:hideMark/>
          </w:tcPr>
          <w:p w14:paraId="3179EB0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46B9523A" w14:textId="77777777" w:rsidTr="00CB21CF">
        <w:trPr>
          <w:trHeight w:val="300"/>
        </w:trPr>
        <w:tc>
          <w:tcPr>
            <w:tcW w:w="1023" w:type="pct"/>
            <w:noWrap/>
            <w:hideMark/>
          </w:tcPr>
          <w:p w14:paraId="21DC34C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Health and Human Resources</w:t>
            </w:r>
          </w:p>
        </w:tc>
        <w:tc>
          <w:tcPr>
            <w:tcW w:w="344" w:type="pct"/>
            <w:hideMark/>
          </w:tcPr>
          <w:p w14:paraId="17E1A59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DBHDS</w:t>
            </w:r>
          </w:p>
        </w:tc>
        <w:tc>
          <w:tcPr>
            <w:tcW w:w="675" w:type="pct"/>
            <w:hideMark/>
          </w:tcPr>
          <w:p w14:paraId="4699550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Behavioral Health and Development Services</w:t>
            </w:r>
          </w:p>
        </w:tc>
        <w:tc>
          <w:tcPr>
            <w:tcW w:w="219" w:type="pct"/>
            <w:hideMark/>
          </w:tcPr>
          <w:p w14:paraId="03601E4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1977364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0D6943F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1A621BB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40CE67BE"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50%</w:t>
            </w:r>
          </w:p>
        </w:tc>
        <w:tc>
          <w:tcPr>
            <w:tcW w:w="247" w:type="pct"/>
            <w:hideMark/>
          </w:tcPr>
          <w:p w14:paraId="496EAE3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56%</w:t>
            </w:r>
          </w:p>
        </w:tc>
        <w:tc>
          <w:tcPr>
            <w:tcW w:w="226" w:type="pct"/>
            <w:hideMark/>
          </w:tcPr>
          <w:p w14:paraId="361DD3F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57%</w:t>
            </w:r>
          </w:p>
        </w:tc>
        <w:tc>
          <w:tcPr>
            <w:tcW w:w="263" w:type="pct"/>
            <w:hideMark/>
          </w:tcPr>
          <w:p w14:paraId="315A553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68%</w:t>
            </w:r>
          </w:p>
        </w:tc>
        <w:tc>
          <w:tcPr>
            <w:tcW w:w="248" w:type="pct"/>
            <w:hideMark/>
          </w:tcPr>
          <w:p w14:paraId="71851E8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83%</w:t>
            </w:r>
          </w:p>
        </w:tc>
        <w:tc>
          <w:tcPr>
            <w:tcW w:w="191" w:type="pct"/>
            <w:hideMark/>
          </w:tcPr>
          <w:p w14:paraId="1AF1670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3A09672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81%</w:t>
            </w:r>
          </w:p>
        </w:tc>
        <w:tc>
          <w:tcPr>
            <w:tcW w:w="226" w:type="pct"/>
            <w:hideMark/>
          </w:tcPr>
          <w:p w14:paraId="15C7428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14%</w:t>
            </w:r>
          </w:p>
        </w:tc>
      </w:tr>
      <w:tr w:rsidR="00A9394E" w:rsidRPr="003B60CC" w14:paraId="213D414A" w14:textId="77777777" w:rsidTr="00CB21CF">
        <w:trPr>
          <w:trHeight w:val="300"/>
        </w:trPr>
        <w:tc>
          <w:tcPr>
            <w:tcW w:w="1023" w:type="pct"/>
            <w:noWrap/>
            <w:hideMark/>
          </w:tcPr>
          <w:p w14:paraId="4E94474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Health and Human Resources</w:t>
            </w:r>
          </w:p>
        </w:tc>
        <w:tc>
          <w:tcPr>
            <w:tcW w:w="344" w:type="pct"/>
            <w:hideMark/>
          </w:tcPr>
          <w:p w14:paraId="297F17D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DDHH</w:t>
            </w:r>
          </w:p>
        </w:tc>
        <w:tc>
          <w:tcPr>
            <w:tcW w:w="675" w:type="pct"/>
            <w:hideMark/>
          </w:tcPr>
          <w:p w14:paraId="0BC2F4B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for the Deaf and Hard of Hearing</w:t>
            </w:r>
          </w:p>
        </w:tc>
        <w:tc>
          <w:tcPr>
            <w:tcW w:w="219" w:type="pct"/>
            <w:hideMark/>
          </w:tcPr>
          <w:p w14:paraId="5132E73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28DE42C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71B41BB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259906E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7AAA1B96"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6AF1439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44BC2DD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0236529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790A3B8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189A5C0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74C9229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63405DC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7FEF9955" w14:textId="77777777" w:rsidTr="00CB21CF">
        <w:trPr>
          <w:trHeight w:val="300"/>
        </w:trPr>
        <w:tc>
          <w:tcPr>
            <w:tcW w:w="1023" w:type="pct"/>
            <w:noWrap/>
            <w:hideMark/>
          </w:tcPr>
          <w:p w14:paraId="45FE736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Health and Human Resources</w:t>
            </w:r>
          </w:p>
        </w:tc>
        <w:tc>
          <w:tcPr>
            <w:tcW w:w="344" w:type="pct"/>
            <w:hideMark/>
          </w:tcPr>
          <w:p w14:paraId="4D9ED14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DHP</w:t>
            </w:r>
          </w:p>
        </w:tc>
        <w:tc>
          <w:tcPr>
            <w:tcW w:w="675" w:type="pct"/>
            <w:hideMark/>
          </w:tcPr>
          <w:p w14:paraId="60CF388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Health Professions</w:t>
            </w:r>
          </w:p>
        </w:tc>
        <w:tc>
          <w:tcPr>
            <w:tcW w:w="219" w:type="pct"/>
            <w:hideMark/>
          </w:tcPr>
          <w:p w14:paraId="08B7910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0544273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22A1491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207EB91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388FCC93"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7FA7EAB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67E5052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80%</w:t>
            </w:r>
          </w:p>
        </w:tc>
        <w:tc>
          <w:tcPr>
            <w:tcW w:w="263" w:type="pct"/>
            <w:hideMark/>
          </w:tcPr>
          <w:p w14:paraId="5802FDA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93%</w:t>
            </w:r>
          </w:p>
        </w:tc>
        <w:tc>
          <w:tcPr>
            <w:tcW w:w="248" w:type="pct"/>
            <w:hideMark/>
          </w:tcPr>
          <w:p w14:paraId="05C91B9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0F349E1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70A0B1B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5FCE948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1D29F2FD" w14:textId="77777777" w:rsidTr="00CB21CF">
        <w:trPr>
          <w:trHeight w:val="360"/>
        </w:trPr>
        <w:tc>
          <w:tcPr>
            <w:tcW w:w="1023" w:type="pct"/>
            <w:noWrap/>
            <w:hideMark/>
          </w:tcPr>
          <w:p w14:paraId="25DA58D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Health and Human Resources</w:t>
            </w:r>
          </w:p>
        </w:tc>
        <w:tc>
          <w:tcPr>
            <w:tcW w:w="344" w:type="pct"/>
            <w:hideMark/>
          </w:tcPr>
          <w:p w14:paraId="448E75B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DMAS</w:t>
            </w:r>
          </w:p>
        </w:tc>
        <w:tc>
          <w:tcPr>
            <w:tcW w:w="675" w:type="pct"/>
            <w:hideMark/>
          </w:tcPr>
          <w:p w14:paraId="28479A6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Medical Assistance Services</w:t>
            </w:r>
          </w:p>
        </w:tc>
        <w:tc>
          <w:tcPr>
            <w:tcW w:w="219" w:type="pct"/>
            <w:hideMark/>
          </w:tcPr>
          <w:p w14:paraId="5DFADA2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7B8FCC4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569BBB6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2F70ED2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1A47CF3C"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4FE5FC4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71%</w:t>
            </w:r>
          </w:p>
        </w:tc>
        <w:tc>
          <w:tcPr>
            <w:tcW w:w="226" w:type="pct"/>
            <w:hideMark/>
          </w:tcPr>
          <w:p w14:paraId="450AF9B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24%</w:t>
            </w:r>
          </w:p>
        </w:tc>
        <w:tc>
          <w:tcPr>
            <w:tcW w:w="263" w:type="pct"/>
            <w:hideMark/>
          </w:tcPr>
          <w:p w14:paraId="511AD2D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64%</w:t>
            </w:r>
          </w:p>
        </w:tc>
        <w:tc>
          <w:tcPr>
            <w:tcW w:w="248" w:type="pct"/>
            <w:hideMark/>
          </w:tcPr>
          <w:p w14:paraId="0D17A1D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75%</w:t>
            </w:r>
          </w:p>
        </w:tc>
        <w:tc>
          <w:tcPr>
            <w:tcW w:w="191" w:type="pct"/>
            <w:hideMark/>
          </w:tcPr>
          <w:p w14:paraId="5EA90BE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163B53E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26" w:type="pct"/>
            <w:hideMark/>
          </w:tcPr>
          <w:p w14:paraId="7D0D648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5CE4B15E" w14:textId="77777777" w:rsidTr="00CB21CF">
        <w:trPr>
          <w:trHeight w:val="360"/>
        </w:trPr>
        <w:tc>
          <w:tcPr>
            <w:tcW w:w="1023" w:type="pct"/>
            <w:noWrap/>
            <w:hideMark/>
          </w:tcPr>
          <w:p w14:paraId="6D5B9F8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Health and Human Resources</w:t>
            </w:r>
          </w:p>
        </w:tc>
        <w:tc>
          <w:tcPr>
            <w:tcW w:w="344" w:type="pct"/>
            <w:hideMark/>
          </w:tcPr>
          <w:p w14:paraId="6F0348F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DSS</w:t>
            </w:r>
          </w:p>
        </w:tc>
        <w:tc>
          <w:tcPr>
            <w:tcW w:w="675" w:type="pct"/>
            <w:hideMark/>
          </w:tcPr>
          <w:p w14:paraId="6C14216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Social Services</w:t>
            </w:r>
          </w:p>
        </w:tc>
        <w:tc>
          <w:tcPr>
            <w:tcW w:w="219" w:type="pct"/>
            <w:hideMark/>
          </w:tcPr>
          <w:p w14:paraId="5B5219E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77B8704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79B8714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33DF1CB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115E7E6B"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712476B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26" w:type="pct"/>
            <w:hideMark/>
          </w:tcPr>
          <w:p w14:paraId="1EEBD60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77%</w:t>
            </w:r>
          </w:p>
        </w:tc>
        <w:tc>
          <w:tcPr>
            <w:tcW w:w="263" w:type="pct"/>
            <w:hideMark/>
          </w:tcPr>
          <w:p w14:paraId="587F7CC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58%</w:t>
            </w:r>
          </w:p>
        </w:tc>
        <w:tc>
          <w:tcPr>
            <w:tcW w:w="248" w:type="pct"/>
            <w:hideMark/>
          </w:tcPr>
          <w:p w14:paraId="2DE29FC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67%</w:t>
            </w:r>
          </w:p>
        </w:tc>
        <w:tc>
          <w:tcPr>
            <w:tcW w:w="191" w:type="pct"/>
            <w:hideMark/>
          </w:tcPr>
          <w:p w14:paraId="6A188C0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4AC1CB1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50%</w:t>
            </w:r>
          </w:p>
        </w:tc>
        <w:tc>
          <w:tcPr>
            <w:tcW w:w="226" w:type="pct"/>
            <w:hideMark/>
          </w:tcPr>
          <w:p w14:paraId="0799925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r>
      <w:tr w:rsidR="00A9394E" w:rsidRPr="003B60CC" w14:paraId="773E52CF" w14:textId="77777777" w:rsidTr="00CB21CF">
        <w:trPr>
          <w:trHeight w:val="300"/>
        </w:trPr>
        <w:tc>
          <w:tcPr>
            <w:tcW w:w="1023" w:type="pct"/>
            <w:noWrap/>
            <w:hideMark/>
          </w:tcPr>
          <w:p w14:paraId="4C753E3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Health and Human Resources</w:t>
            </w:r>
          </w:p>
        </w:tc>
        <w:tc>
          <w:tcPr>
            <w:tcW w:w="344" w:type="pct"/>
            <w:hideMark/>
          </w:tcPr>
          <w:p w14:paraId="48DF858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VDH</w:t>
            </w:r>
          </w:p>
        </w:tc>
        <w:tc>
          <w:tcPr>
            <w:tcW w:w="675" w:type="pct"/>
            <w:hideMark/>
          </w:tcPr>
          <w:p w14:paraId="4211D6C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Department of Health</w:t>
            </w:r>
          </w:p>
        </w:tc>
        <w:tc>
          <w:tcPr>
            <w:tcW w:w="219" w:type="pct"/>
            <w:hideMark/>
          </w:tcPr>
          <w:p w14:paraId="416917C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77C25A2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760965B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61908F6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01DB1002"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4C01D42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77%</w:t>
            </w:r>
          </w:p>
        </w:tc>
        <w:tc>
          <w:tcPr>
            <w:tcW w:w="226" w:type="pct"/>
            <w:hideMark/>
          </w:tcPr>
          <w:p w14:paraId="7D3585B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66%</w:t>
            </w:r>
          </w:p>
        </w:tc>
        <w:tc>
          <w:tcPr>
            <w:tcW w:w="263" w:type="pct"/>
            <w:hideMark/>
          </w:tcPr>
          <w:p w14:paraId="09576CE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81%</w:t>
            </w:r>
          </w:p>
        </w:tc>
        <w:tc>
          <w:tcPr>
            <w:tcW w:w="248" w:type="pct"/>
            <w:hideMark/>
          </w:tcPr>
          <w:p w14:paraId="79F9FFB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06D4A80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273E575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1DA8FBF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5F6CF5FC" w14:textId="77777777" w:rsidTr="00CB21CF">
        <w:trPr>
          <w:trHeight w:val="300"/>
        </w:trPr>
        <w:tc>
          <w:tcPr>
            <w:tcW w:w="1023" w:type="pct"/>
            <w:noWrap/>
            <w:hideMark/>
          </w:tcPr>
          <w:p w14:paraId="2CFBBA5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Health and Human Resources</w:t>
            </w:r>
          </w:p>
        </w:tc>
        <w:tc>
          <w:tcPr>
            <w:tcW w:w="344" w:type="pct"/>
            <w:hideMark/>
          </w:tcPr>
          <w:p w14:paraId="5028B86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VFHY</w:t>
            </w:r>
          </w:p>
        </w:tc>
        <w:tc>
          <w:tcPr>
            <w:tcW w:w="675" w:type="pct"/>
            <w:hideMark/>
          </w:tcPr>
          <w:p w14:paraId="4538347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Foundation for Healthy Youth</w:t>
            </w:r>
          </w:p>
        </w:tc>
        <w:tc>
          <w:tcPr>
            <w:tcW w:w="219" w:type="pct"/>
            <w:hideMark/>
          </w:tcPr>
          <w:p w14:paraId="1841B7A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2C2EAC1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158D2AA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N/C</w:t>
            </w:r>
          </w:p>
        </w:tc>
        <w:tc>
          <w:tcPr>
            <w:tcW w:w="245" w:type="pct"/>
            <w:hideMark/>
          </w:tcPr>
          <w:p w14:paraId="63AA0DE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N/C</w:t>
            </w:r>
          </w:p>
        </w:tc>
        <w:tc>
          <w:tcPr>
            <w:tcW w:w="226" w:type="pct"/>
            <w:hideMark/>
          </w:tcPr>
          <w:p w14:paraId="0DE42A77"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N/C</w:t>
            </w:r>
          </w:p>
        </w:tc>
        <w:tc>
          <w:tcPr>
            <w:tcW w:w="247" w:type="pct"/>
            <w:hideMark/>
          </w:tcPr>
          <w:p w14:paraId="053DDF0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31A1506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63" w:type="pct"/>
            <w:hideMark/>
          </w:tcPr>
          <w:p w14:paraId="14956E5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34%</w:t>
            </w:r>
          </w:p>
        </w:tc>
        <w:tc>
          <w:tcPr>
            <w:tcW w:w="248" w:type="pct"/>
            <w:hideMark/>
          </w:tcPr>
          <w:p w14:paraId="43B7801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50%</w:t>
            </w:r>
          </w:p>
        </w:tc>
        <w:tc>
          <w:tcPr>
            <w:tcW w:w="191" w:type="pct"/>
            <w:hideMark/>
          </w:tcPr>
          <w:p w14:paraId="71B99C7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335" w:type="pct"/>
            <w:hideMark/>
          </w:tcPr>
          <w:p w14:paraId="78B45E3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26" w:type="pct"/>
            <w:hideMark/>
          </w:tcPr>
          <w:p w14:paraId="3A8F4DD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3DAC3CD4" w14:textId="77777777" w:rsidTr="00CB21CF">
        <w:trPr>
          <w:trHeight w:val="300"/>
        </w:trPr>
        <w:tc>
          <w:tcPr>
            <w:tcW w:w="1023" w:type="pct"/>
            <w:hideMark/>
          </w:tcPr>
          <w:p w14:paraId="72259E6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Independent</w:t>
            </w:r>
          </w:p>
        </w:tc>
        <w:tc>
          <w:tcPr>
            <w:tcW w:w="344" w:type="pct"/>
            <w:hideMark/>
          </w:tcPr>
          <w:p w14:paraId="283A0DA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IDC</w:t>
            </w:r>
          </w:p>
        </w:tc>
        <w:tc>
          <w:tcPr>
            <w:tcW w:w="675" w:type="pct"/>
            <w:hideMark/>
          </w:tcPr>
          <w:p w14:paraId="5629FF9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Indigent Defense Commission</w:t>
            </w:r>
          </w:p>
        </w:tc>
        <w:tc>
          <w:tcPr>
            <w:tcW w:w="219" w:type="pct"/>
            <w:hideMark/>
          </w:tcPr>
          <w:p w14:paraId="243FAB8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39A4728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74CA4AA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0F9EEFE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5F66B89A"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02C4C89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524EDCE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63" w:type="pct"/>
            <w:hideMark/>
          </w:tcPr>
          <w:p w14:paraId="367D8AA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66%</w:t>
            </w:r>
          </w:p>
        </w:tc>
        <w:tc>
          <w:tcPr>
            <w:tcW w:w="248" w:type="pct"/>
            <w:hideMark/>
          </w:tcPr>
          <w:p w14:paraId="093CCF0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7CDF3FB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1B9D541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7DAE9CD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44CB33FE" w14:textId="77777777" w:rsidTr="00CB21CF">
        <w:trPr>
          <w:trHeight w:val="300"/>
        </w:trPr>
        <w:tc>
          <w:tcPr>
            <w:tcW w:w="1023" w:type="pct"/>
            <w:hideMark/>
          </w:tcPr>
          <w:p w14:paraId="13A671E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Independent</w:t>
            </w:r>
          </w:p>
        </w:tc>
        <w:tc>
          <w:tcPr>
            <w:tcW w:w="344" w:type="pct"/>
            <w:hideMark/>
          </w:tcPr>
          <w:p w14:paraId="736C591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SCC</w:t>
            </w:r>
          </w:p>
        </w:tc>
        <w:tc>
          <w:tcPr>
            <w:tcW w:w="675" w:type="pct"/>
            <w:hideMark/>
          </w:tcPr>
          <w:p w14:paraId="1EA2038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State Corporation Commission</w:t>
            </w:r>
          </w:p>
        </w:tc>
        <w:tc>
          <w:tcPr>
            <w:tcW w:w="219" w:type="pct"/>
            <w:hideMark/>
          </w:tcPr>
          <w:p w14:paraId="486EDD0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60219D0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0492B0D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0A97465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6872DC82"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1982640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3A455E7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87%</w:t>
            </w:r>
          </w:p>
        </w:tc>
        <w:tc>
          <w:tcPr>
            <w:tcW w:w="263" w:type="pct"/>
            <w:hideMark/>
          </w:tcPr>
          <w:p w14:paraId="12455B2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96%</w:t>
            </w:r>
          </w:p>
        </w:tc>
        <w:tc>
          <w:tcPr>
            <w:tcW w:w="248" w:type="pct"/>
            <w:hideMark/>
          </w:tcPr>
          <w:p w14:paraId="09C717A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75%</w:t>
            </w:r>
          </w:p>
        </w:tc>
        <w:tc>
          <w:tcPr>
            <w:tcW w:w="191" w:type="pct"/>
            <w:hideMark/>
          </w:tcPr>
          <w:p w14:paraId="35E225E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3FD4BB0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26" w:type="pct"/>
            <w:hideMark/>
          </w:tcPr>
          <w:p w14:paraId="5F18BB0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14B42A78" w14:textId="77777777" w:rsidTr="00CB21CF">
        <w:trPr>
          <w:trHeight w:val="300"/>
        </w:trPr>
        <w:tc>
          <w:tcPr>
            <w:tcW w:w="1023" w:type="pct"/>
            <w:hideMark/>
          </w:tcPr>
          <w:p w14:paraId="42967BC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Independent</w:t>
            </w:r>
          </w:p>
        </w:tc>
        <w:tc>
          <w:tcPr>
            <w:tcW w:w="344" w:type="pct"/>
            <w:hideMark/>
          </w:tcPr>
          <w:p w14:paraId="221664D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SLD</w:t>
            </w:r>
          </w:p>
        </w:tc>
        <w:tc>
          <w:tcPr>
            <w:tcW w:w="675" w:type="pct"/>
            <w:hideMark/>
          </w:tcPr>
          <w:p w14:paraId="5027821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State Lottery Department</w:t>
            </w:r>
          </w:p>
        </w:tc>
        <w:tc>
          <w:tcPr>
            <w:tcW w:w="219" w:type="pct"/>
            <w:hideMark/>
          </w:tcPr>
          <w:p w14:paraId="16B795F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1C00C8C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6523159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0DFF3A0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136152DE"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67%</w:t>
            </w:r>
          </w:p>
        </w:tc>
        <w:tc>
          <w:tcPr>
            <w:tcW w:w="247" w:type="pct"/>
            <w:hideMark/>
          </w:tcPr>
          <w:p w14:paraId="17B4D6F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0FA7335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38%</w:t>
            </w:r>
          </w:p>
        </w:tc>
        <w:tc>
          <w:tcPr>
            <w:tcW w:w="263" w:type="pct"/>
            <w:hideMark/>
          </w:tcPr>
          <w:p w14:paraId="1C69959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77%</w:t>
            </w:r>
          </w:p>
        </w:tc>
        <w:tc>
          <w:tcPr>
            <w:tcW w:w="248" w:type="pct"/>
            <w:hideMark/>
          </w:tcPr>
          <w:p w14:paraId="199D1E9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58%</w:t>
            </w:r>
          </w:p>
        </w:tc>
        <w:tc>
          <w:tcPr>
            <w:tcW w:w="191" w:type="pct"/>
            <w:hideMark/>
          </w:tcPr>
          <w:p w14:paraId="3BAB8B6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3F0FD49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26" w:type="pct"/>
            <w:hideMark/>
          </w:tcPr>
          <w:p w14:paraId="5D5CA84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72AA4906" w14:textId="77777777" w:rsidTr="00CB21CF">
        <w:trPr>
          <w:trHeight w:val="300"/>
        </w:trPr>
        <w:tc>
          <w:tcPr>
            <w:tcW w:w="1023" w:type="pct"/>
            <w:hideMark/>
          </w:tcPr>
          <w:p w14:paraId="5ECDF1A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Independent</w:t>
            </w:r>
          </w:p>
        </w:tc>
        <w:tc>
          <w:tcPr>
            <w:tcW w:w="344" w:type="pct"/>
            <w:hideMark/>
          </w:tcPr>
          <w:p w14:paraId="1DBD102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VCSP</w:t>
            </w:r>
          </w:p>
        </w:tc>
        <w:tc>
          <w:tcPr>
            <w:tcW w:w="675" w:type="pct"/>
            <w:hideMark/>
          </w:tcPr>
          <w:p w14:paraId="79226D2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College Savings Plan</w:t>
            </w:r>
          </w:p>
        </w:tc>
        <w:tc>
          <w:tcPr>
            <w:tcW w:w="219" w:type="pct"/>
            <w:hideMark/>
          </w:tcPr>
          <w:p w14:paraId="38C1829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72BB175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0E7B71E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30CE343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71B6E944"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111FBF2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09F41E5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73%</w:t>
            </w:r>
          </w:p>
        </w:tc>
        <w:tc>
          <w:tcPr>
            <w:tcW w:w="263" w:type="pct"/>
            <w:hideMark/>
          </w:tcPr>
          <w:p w14:paraId="753CE92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91%</w:t>
            </w:r>
          </w:p>
        </w:tc>
        <w:tc>
          <w:tcPr>
            <w:tcW w:w="248" w:type="pct"/>
            <w:hideMark/>
          </w:tcPr>
          <w:p w14:paraId="3CC8D56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83%</w:t>
            </w:r>
          </w:p>
        </w:tc>
        <w:tc>
          <w:tcPr>
            <w:tcW w:w="191" w:type="pct"/>
            <w:hideMark/>
          </w:tcPr>
          <w:p w14:paraId="7FAED93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71CFA07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454BE9B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60B3CB68" w14:textId="77777777" w:rsidTr="00CB21CF">
        <w:trPr>
          <w:trHeight w:val="360"/>
        </w:trPr>
        <w:tc>
          <w:tcPr>
            <w:tcW w:w="1023" w:type="pct"/>
            <w:hideMark/>
          </w:tcPr>
          <w:p w14:paraId="09C069F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Independent</w:t>
            </w:r>
          </w:p>
        </w:tc>
        <w:tc>
          <w:tcPr>
            <w:tcW w:w="344" w:type="pct"/>
            <w:hideMark/>
          </w:tcPr>
          <w:p w14:paraId="35ADC2B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VRS</w:t>
            </w:r>
          </w:p>
        </w:tc>
        <w:tc>
          <w:tcPr>
            <w:tcW w:w="675" w:type="pct"/>
            <w:hideMark/>
          </w:tcPr>
          <w:p w14:paraId="66145AE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Retirement System</w:t>
            </w:r>
          </w:p>
        </w:tc>
        <w:tc>
          <w:tcPr>
            <w:tcW w:w="219" w:type="pct"/>
            <w:hideMark/>
          </w:tcPr>
          <w:p w14:paraId="35EFF0A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50F06BB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32605F8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363CE1E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58B264E8"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4ED5EEE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003AC68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89%</w:t>
            </w:r>
          </w:p>
        </w:tc>
        <w:tc>
          <w:tcPr>
            <w:tcW w:w="263" w:type="pct"/>
            <w:hideMark/>
          </w:tcPr>
          <w:p w14:paraId="69DDC0E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96%</w:t>
            </w:r>
          </w:p>
        </w:tc>
        <w:tc>
          <w:tcPr>
            <w:tcW w:w="248" w:type="pct"/>
            <w:hideMark/>
          </w:tcPr>
          <w:p w14:paraId="7B3EB57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78%</w:t>
            </w:r>
          </w:p>
        </w:tc>
        <w:tc>
          <w:tcPr>
            <w:tcW w:w="191" w:type="pct"/>
            <w:hideMark/>
          </w:tcPr>
          <w:p w14:paraId="2FC5548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404889E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70%</w:t>
            </w:r>
          </w:p>
        </w:tc>
        <w:tc>
          <w:tcPr>
            <w:tcW w:w="226" w:type="pct"/>
            <w:hideMark/>
          </w:tcPr>
          <w:p w14:paraId="39DF01A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075433B9" w14:textId="77777777" w:rsidTr="00CB21CF">
        <w:trPr>
          <w:trHeight w:val="360"/>
        </w:trPr>
        <w:tc>
          <w:tcPr>
            <w:tcW w:w="1023" w:type="pct"/>
            <w:hideMark/>
          </w:tcPr>
          <w:p w14:paraId="6C8F30F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Independent</w:t>
            </w:r>
          </w:p>
        </w:tc>
        <w:tc>
          <w:tcPr>
            <w:tcW w:w="344" w:type="pct"/>
            <w:hideMark/>
          </w:tcPr>
          <w:p w14:paraId="4C55776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VWC</w:t>
            </w:r>
          </w:p>
        </w:tc>
        <w:tc>
          <w:tcPr>
            <w:tcW w:w="675" w:type="pct"/>
            <w:hideMark/>
          </w:tcPr>
          <w:p w14:paraId="05D35D6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Workers Compensation Commission</w:t>
            </w:r>
          </w:p>
        </w:tc>
        <w:tc>
          <w:tcPr>
            <w:tcW w:w="219" w:type="pct"/>
            <w:hideMark/>
          </w:tcPr>
          <w:p w14:paraId="18B2F2D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241BD5D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5AE74C8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766EE1E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16DE44F9"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6808D24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3578EFF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7B9B040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04F6D2A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83%</w:t>
            </w:r>
          </w:p>
        </w:tc>
        <w:tc>
          <w:tcPr>
            <w:tcW w:w="191" w:type="pct"/>
            <w:hideMark/>
          </w:tcPr>
          <w:p w14:paraId="0BFBC3B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548FC05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29D264F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77EB57B6" w14:textId="77777777" w:rsidTr="00CB21CF">
        <w:trPr>
          <w:trHeight w:val="360"/>
        </w:trPr>
        <w:tc>
          <w:tcPr>
            <w:tcW w:w="1023" w:type="pct"/>
            <w:noWrap/>
            <w:hideMark/>
          </w:tcPr>
          <w:p w14:paraId="4450FB0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Natural Resources</w:t>
            </w:r>
          </w:p>
        </w:tc>
        <w:tc>
          <w:tcPr>
            <w:tcW w:w="344" w:type="pct"/>
            <w:hideMark/>
          </w:tcPr>
          <w:p w14:paraId="71BB059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DCR</w:t>
            </w:r>
          </w:p>
        </w:tc>
        <w:tc>
          <w:tcPr>
            <w:tcW w:w="675" w:type="pct"/>
            <w:hideMark/>
          </w:tcPr>
          <w:p w14:paraId="2ED19D9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Conservation and Recreation</w:t>
            </w:r>
          </w:p>
        </w:tc>
        <w:tc>
          <w:tcPr>
            <w:tcW w:w="219" w:type="pct"/>
            <w:hideMark/>
          </w:tcPr>
          <w:p w14:paraId="3A9669F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376BFB9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44A018B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4CE1E3A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10E83599"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375CE89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02533FE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4EC61A2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20E59F8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24262E0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67C1760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03DA959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230D5062" w14:textId="77777777" w:rsidTr="00CB21CF">
        <w:trPr>
          <w:trHeight w:val="319"/>
        </w:trPr>
        <w:tc>
          <w:tcPr>
            <w:tcW w:w="1023" w:type="pct"/>
            <w:noWrap/>
            <w:hideMark/>
          </w:tcPr>
          <w:p w14:paraId="1A90CED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Natural Resources</w:t>
            </w:r>
          </w:p>
        </w:tc>
        <w:tc>
          <w:tcPr>
            <w:tcW w:w="344" w:type="pct"/>
            <w:hideMark/>
          </w:tcPr>
          <w:p w14:paraId="405AD86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DEQ</w:t>
            </w:r>
          </w:p>
        </w:tc>
        <w:tc>
          <w:tcPr>
            <w:tcW w:w="675" w:type="pct"/>
            <w:hideMark/>
          </w:tcPr>
          <w:p w14:paraId="782CD54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Environmental Quality</w:t>
            </w:r>
          </w:p>
        </w:tc>
        <w:tc>
          <w:tcPr>
            <w:tcW w:w="219" w:type="pct"/>
            <w:hideMark/>
          </w:tcPr>
          <w:p w14:paraId="6AFE501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3954749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780917F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0FE98CD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0DCDD939"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2D13188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509FDA9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91%</w:t>
            </w:r>
          </w:p>
        </w:tc>
        <w:tc>
          <w:tcPr>
            <w:tcW w:w="263" w:type="pct"/>
            <w:hideMark/>
          </w:tcPr>
          <w:p w14:paraId="1F90AE0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97%</w:t>
            </w:r>
          </w:p>
        </w:tc>
        <w:tc>
          <w:tcPr>
            <w:tcW w:w="248" w:type="pct"/>
            <w:hideMark/>
          </w:tcPr>
          <w:p w14:paraId="0C7091E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559A9C4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2769C9E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207262C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250AE09A" w14:textId="77777777" w:rsidTr="00CB21CF">
        <w:trPr>
          <w:trHeight w:val="300"/>
        </w:trPr>
        <w:tc>
          <w:tcPr>
            <w:tcW w:w="1023" w:type="pct"/>
            <w:noWrap/>
            <w:hideMark/>
          </w:tcPr>
          <w:p w14:paraId="50D175A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Natural Resources</w:t>
            </w:r>
          </w:p>
        </w:tc>
        <w:tc>
          <w:tcPr>
            <w:tcW w:w="344" w:type="pct"/>
            <w:hideMark/>
          </w:tcPr>
          <w:p w14:paraId="0E9A538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DGIF</w:t>
            </w:r>
          </w:p>
        </w:tc>
        <w:tc>
          <w:tcPr>
            <w:tcW w:w="675" w:type="pct"/>
            <w:hideMark/>
          </w:tcPr>
          <w:p w14:paraId="5183BBD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Game and Inland Fisheries</w:t>
            </w:r>
          </w:p>
        </w:tc>
        <w:tc>
          <w:tcPr>
            <w:tcW w:w="219" w:type="pct"/>
            <w:hideMark/>
          </w:tcPr>
          <w:p w14:paraId="45CAC1E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0E7CE89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68F3115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4FED0A7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53B6C16E"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0%</w:t>
            </w:r>
          </w:p>
        </w:tc>
        <w:tc>
          <w:tcPr>
            <w:tcW w:w="247" w:type="pct"/>
            <w:hideMark/>
          </w:tcPr>
          <w:p w14:paraId="2527892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78C48D9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33%</w:t>
            </w:r>
          </w:p>
        </w:tc>
        <w:tc>
          <w:tcPr>
            <w:tcW w:w="263" w:type="pct"/>
            <w:hideMark/>
          </w:tcPr>
          <w:p w14:paraId="27794C4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73%</w:t>
            </w:r>
          </w:p>
        </w:tc>
        <w:tc>
          <w:tcPr>
            <w:tcW w:w="248" w:type="pct"/>
            <w:hideMark/>
          </w:tcPr>
          <w:p w14:paraId="736EFE1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75%</w:t>
            </w:r>
          </w:p>
        </w:tc>
        <w:tc>
          <w:tcPr>
            <w:tcW w:w="191" w:type="pct"/>
            <w:hideMark/>
          </w:tcPr>
          <w:p w14:paraId="041716E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04D614C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26" w:type="pct"/>
            <w:hideMark/>
          </w:tcPr>
          <w:p w14:paraId="23E8CC8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0C59213C" w14:textId="77777777" w:rsidTr="00CB21CF">
        <w:trPr>
          <w:trHeight w:val="300"/>
        </w:trPr>
        <w:tc>
          <w:tcPr>
            <w:tcW w:w="1023" w:type="pct"/>
            <w:noWrap/>
            <w:hideMark/>
          </w:tcPr>
          <w:p w14:paraId="2D5740C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Natural Resources</w:t>
            </w:r>
          </w:p>
        </w:tc>
        <w:tc>
          <w:tcPr>
            <w:tcW w:w="344" w:type="pct"/>
            <w:hideMark/>
          </w:tcPr>
          <w:p w14:paraId="075BC03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DHR</w:t>
            </w:r>
          </w:p>
        </w:tc>
        <w:tc>
          <w:tcPr>
            <w:tcW w:w="675" w:type="pct"/>
            <w:hideMark/>
          </w:tcPr>
          <w:p w14:paraId="65E90BB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Historic Resources</w:t>
            </w:r>
          </w:p>
        </w:tc>
        <w:tc>
          <w:tcPr>
            <w:tcW w:w="219" w:type="pct"/>
            <w:hideMark/>
          </w:tcPr>
          <w:p w14:paraId="3873453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39344C9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266B1A5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75DF55F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13F30D47"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0%</w:t>
            </w:r>
          </w:p>
        </w:tc>
        <w:tc>
          <w:tcPr>
            <w:tcW w:w="247" w:type="pct"/>
            <w:hideMark/>
          </w:tcPr>
          <w:p w14:paraId="6E51170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37ECAD1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63" w:type="pct"/>
            <w:hideMark/>
          </w:tcPr>
          <w:p w14:paraId="0DB97E3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61%</w:t>
            </w:r>
          </w:p>
        </w:tc>
        <w:tc>
          <w:tcPr>
            <w:tcW w:w="248" w:type="pct"/>
            <w:hideMark/>
          </w:tcPr>
          <w:p w14:paraId="202BA73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45BA113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0E34367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041A3CE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0552EE21" w14:textId="77777777" w:rsidTr="00CB21CF">
        <w:trPr>
          <w:trHeight w:val="300"/>
        </w:trPr>
        <w:tc>
          <w:tcPr>
            <w:tcW w:w="1023" w:type="pct"/>
            <w:noWrap/>
            <w:hideMark/>
          </w:tcPr>
          <w:p w14:paraId="525CA08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Natural Resources</w:t>
            </w:r>
          </w:p>
        </w:tc>
        <w:tc>
          <w:tcPr>
            <w:tcW w:w="344" w:type="pct"/>
            <w:hideMark/>
          </w:tcPr>
          <w:p w14:paraId="46887CC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MRC</w:t>
            </w:r>
          </w:p>
        </w:tc>
        <w:tc>
          <w:tcPr>
            <w:tcW w:w="675" w:type="pct"/>
            <w:hideMark/>
          </w:tcPr>
          <w:p w14:paraId="7D275DD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Marine Resources Commission</w:t>
            </w:r>
          </w:p>
        </w:tc>
        <w:tc>
          <w:tcPr>
            <w:tcW w:w="219" w:type="pct"/>
            <w:hideMark/>
          </w:tcPr>
          <w:p w14:paraId="6A47FDD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66E2CB6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25A1BFC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4947FAB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6969C66C"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19EE00D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5AA214C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1703579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7643A15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1B91082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25F39F8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0E3B0D0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335B70A1" w14:textId="77777777" w:rsidTr="00CB21CF">
        <w:trPr>
          <w:trHeight w:val="300"/>
        </w:trPr>
        <w:tc>
          <w:tcPr>
            <w:tcW w:w="1023" w:type="pct"/>
            <w:noWrap/>
            <w:hideMark/>
          </w:tcPr>
          <w:p w14:paraId="5986205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Natural Resources</w:t>
            </w:r>
          </w:p>
        </w:tc>
        <w:tc>
          <w:tcPr>
            <w:tcW w:w="344" w:type="pct"/>
            <w:hideMark/>
          </w:tcPr>
          <w:p w14:paraId="09934D8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VMNH</w:t>
            </w:r>
          </w:p>
        </w:tc>
        <w:tc>
          <w:tcPr>
            <w:tcW w:w="675" w:type="pct"/>
            <w:hideMark/>
          </w:tcPr>
          <w:p w14:paraId="7310DB3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Museum of Natural History</w:t>
            </w:r>
          </w:p>
        </w:tc>
        <w:tc>
          <w:tcPr>
            <w:tcW w:w="219" w:type="pct"/>
            <w:hideMark/>
          </w:tcPr>
          <w:p w14:paraId="68B61A1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2D144AE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7E8AA2F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279A9AC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71315F72"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0E27825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1CC0FD7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32C92D6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6ADF9A7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1F359D1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66D8A81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20B461C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0CF6C69B" w14:textId="77777777" w:rsidTr="00CB21CF">
        <w:trPr>
          <w:trHeight w:val="300"/>
        </w:trPr>
        <w:tc>
          <w:tcPr>
            <w:tcW w:w="1023" w:type="pct"/>
            <w:noWrap/>
            <w:hideMark/>
          </w:tcPr>
          <w:p w14:paraId="55FC9AD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Public Safety</w:t>
            </w:r>
          </w:p>
        </w:tc>
        <w:tc>
          <w:tcPr>
            <w:tcW w:w="344" w:type="pct"/>
            <w:hideMark/>
          </w:tcPr>
          <w:p w14:paraId="56CC24F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ABC</w:t>
            </w:r>
          </w:p>
        </w:tc>
        <w:tc>
          <w:tcPr>
            <w:tcW w:w="675" w:type="pct"/>
            <w:hideMark/>
          </w:tcPr>
          <w:p w14:paraId="70B2AD7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Alcoholic Beverage Control</w:t>
            </w:r>
          </w:p>
        </w:tc>
        <w:tc>
          <w:tcPr>
            <w:tcW w:w="219" w:type="pct"/>
            <w:hideMark/>
          </w:tcPr>
          <w:p w14:paraId="11B5554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749503F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13C61B0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3206F45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4FD98F6B"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20%</w:t>
            </w:r>
          </w:p>
        </w:tc>
        <w:tc>
          <w:tcPr>
            <w:tcW w:w="247" w:type="pct"/>
            <w:hideMark/>
          </w:tcPr>
          <w:p w14:paraId="685FCA7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3DE74C3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61%</w:t>
            </w:r>
          </w:p>
        </w:tc>
        <w:tc>
          <w:tcPr>
            <w:tcW w:w="263" w:type="pct"/>
            <w:hideMark/>
          </w:tcPr>
          <w:p w14:paraId="6D62AB2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83%</w:t>
            </w:r>
          </w:p>
        </w:tc>
        <w:tc>
          <w:tcPr>
            <w:tcW w:w="248" w:type="pct"/>
            <w:hideMark/>
          </w:tcPr>
          <w:p w14:paraId="7D4D99B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83%</w:t>
            </w:r>
          </w:p>
        </w:tc>
        <w:tc>
          <w:tcPr>
            <w:tcW w:w="191" w:type="pct"/>
            <w:hideMark/>
          </w:tcPr>
          <w:p w14:paraId="250FD0F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6ACF429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26" w:type="pct"/>
            <w:hideMark/>
          </w:tcPr>
          <w:p w14:paraId="2C3B0FB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2CDE6FE8" w14:textId="77777777" w:rsidTr="00CB21CF">
        <w:trPr>
          <w:trHeight w:val="300"/>
        </w:trPr>
        <w:tc>
          <w:tcPr>
            <w:tcW w:w="1023" w:type="pct"/>
            <w:noWrap/>
            <w:hideMark/>
          </w:tcPr>
          <w:p w14:paraId="722DD07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Public Safety</w:t>
            </w:r>
          </w:p>
        </w:tc>
        <w:tc>
          <w:tcPr>
            <w:tcW w:w="344" w:type="pct"/>
            <w:hideMark/>
          </w:tcPr>
          <w:p w14:paraId="62A38A3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CASC</w:t>
            </w:r>
          </w:p>
        </w:tc>
        <w:tc>
          <w:tcPr>
            <w:tcW w:w="675" w:type="pct"/>
            <w:hideMark/>
          </w:tcPr>
          <w:p w14:paraId="36FA297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Commonwealths Attorneys Services Council</w:t>
            </w:r>
          </w:p>
        </w:tc>
        <w:tc>
          <w:tcPr>
            <w:tcW w:w="219" w:type="pct"/>
            <w:hideMark/>
          </w:tcPr>
          <w:p w14:paraId="36165B2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12B3D09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1756208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5E299AB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7D20BAD0"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6BABAC1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33F5787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63" w:type="pct"/>
            <w:hideMark/>
          </w:tcPr>
          <w:p w14:paraId="6B1B818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19446A5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70B046B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35960D1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5881C63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64AA966C" w14:textId="77777777" w:rsidTr="00CB21CF">
        <w:trPr>
          <w:trHeight w:val="300"/>
        </w:trPr>
        <w:tc>
          <w:tcPr>
            <w:tcW w:w="1023" w:type="pct"/>
            <w:noWrap/>
            <w:hideMark/>
          </w:tcPr>
          <w:p w14:paraId="6C77D10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Public Safety</w:t>
            </w:r>
          </w:p>
        </w:tc>
        <w:tc>
          <w:tcPr>
            <w:tcW w:w="344" w:type="pct"/>
            <w:hideMark/>
          </w:tcPr>
          <w:p w14:paraId="4B9BBB4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DCJS</w:t>
            </w:r>
          </w:p>
        </w:tc>
        <w:tc>
          <w:tcPr>
            <w:tcW w:w="675" w:type="pct"/>
            <w:hideMark/>
          </w:tcPr>
          <w:p w14:paraId="306CB80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Criminal Justice Services</w:t>
            </w:r>
          </w:p>
        </w:tc>
        <w:tc>
          <w:tcPr>
            <w:tcW w:w="219" w:type="pct"/>
            <w:hideMark/>
          </w:tcPr>
          <w:p w14:paraId="55DC126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76BB901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149316C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69DC822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4B7A6ADC"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32625F7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02F49D5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63" w:type="pct"/>
            <w:hideMark/>
          </w:tcPr>
          <w:p w14:paraId="7D44CEE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66%</w:t>
            </w:r>
          </w:p>
        </w:tc>
        <w:tc>
          <w:tcPr>
            <w:tcW w:w="248" w:type="pct"/>
            <w:hideMark/>
          </w:tcPr>
          <w:p w14:paraId="53C3160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88%</w:t>
            </w:r>
          </w:p>
        </w:tc>
        <w:tc>
          <w:tcPr>
            <w:tcW w:w="191" w:type="pct"/>
            <w:hideMark/>
          </w:tcPr>
          <w:p w14:paraId="7E317A6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4B31125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75%</w:t>
            </w:r>
          </w:p>
        </w:tc>
        <w:tc>
          <w:tcPr>
            <w:tcW w:w="226" w:type="pct"/>
            <w:hideMark/>
          </w:tcPr>
          <w:p w14:paraId="349A50E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5011636B" w14:textId="77777777" w:rsidTr="00CB21CF">
        <w:trPr>
          <w:trHeight w:val="300"/>
        </w:trPr>
        <w:tc>
          <w:tcPr>
            <w:tcW w:w="1023" w:type="pct"/>
            <w:noWrap/>
            <w:hideMark/>
          </w:tcPr>
          <w:p w14:paraId="7F59AB0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Public Safety</w:t>
            </w:r>
          </w:p>
        </w:tc>
        <w:tc>
          <w:tcPr>
            <w:tcW w:w="344" w:type="pct"/>
            <w:hideMark/>
          </w:tcPr>
          <w:p w14:paraId="2E03778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DFP</w:t>
            </w:r>
          </w:p>
        </w:tc>
        <w:tc>
          <w:tcPr>
            <w:tcW w:w="675" w:type="pct"/>
            <w:hideMark/>
          </w:tcPr>
          <w:p w14:paraId="560C2D4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Fire Programs</w:t>
            </w:r>
          </w:p>
        </w:tc>
        <w:tc>
          <w:tcPr>
            <w:tcW w:w="219" w:type="pct"/>
            <w:hideMark/>
          </w:tcPr>
          <w:p w14:paraId="2C33184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3F380B5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641768A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7117F33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3EDB5A0E"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0%</w:t>
            </w:r>
          </w:p>
        </w:tc>
        <w:tc>
          <w:tcPr>
            <w:tcW w:w="247" w:type="pct"/>
            <w:hideMark/>
          </w:tcPr>
          <w:p w14:paraId="001A9E5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50%</w:t>
            </w:r>
          </w:p>
        </w:tc>
        <w:tc>
          <w:tcPr>
            <w:tcW w:w="226" w:type="pct"/>
            <w:hideMark/>
          </w:tcPr>
          <w:p w14:paraId="1838F52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35%</w:t>
            </w:r>
          </w:p>
        </w:tc>
        <w:tc>
          <w:tcPr>
            <w:tcW w:w="263" w:type="pct"/>
            <w:hideMark/>
          </w:tcPr>
          <w:p w14:paraId="5C219D9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56%</w:t>
            </w:r>
          </w:p>
        </w:tc>
        <w:tc>
          <w:tcPr>
            <w:tcW w:w="248" w:type="pct"/>
            <w:hideMark/>
          </w:tcPr>
          <w:p w14:paraId="10A718C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83%</w:t>
            </w:r>
          </w:p>
        </w:tc>
        <w:tc>
          <w:tcPr>
            <w:tcW w:w="191" w:type="pct"/>
            <w:hideMark/>
          </w:tcPr>
          <w:p w14:paraId="756D75E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0352392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26" w:type="pct"/>
            <w:hideMark/>
          </w:tcPr>
          <w:p w14:paraId="0467533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749E094A" w14:textId="77777777" w:rsidTr="00CB21CF">
        <w:trPr>
          <w:trHeight w:val="300"/>
        </w:trPr>
        <w:tc>
          <w:tcPr>
            <w:tcW w:w="1023" w:type="pct"/>
            <w:noWrap/>
            <w:hideMark/>
          </w:tcPr>
          <w:p w14:paraId="461FDFB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Public Safety</w:t>
            </w:r>
          </w:p>
        </w:tc>
        <w:tc>
          <w:tcPr>
            <w:tcW w:w="344" w:type="pct"/>
            <w:hideMark/>
          </w:tcPr>
          <w:p w14:paraId="4FD5E27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DFS</w:t>
            </w:r>
          </w:p>
        </w:tc>
        <w:tc>
          <w:tcPr>
            <w:tcW w:w="675" w:type="pct"/>
            <w:hideMark/>
          </w:tcPr>
          <w:p w14:paraId="5B5CF20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Forensic Science</w:t>
            </w:r>
          </w:p>
        </w:tc>
        <w:tc>
          <w:tcPr>
            <w:tcW w:w="219" w:type="pct"/>
            <w:hideMark/>
          </w:tcPr>
          <w:p w14:paraId="17BDBC6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64F093C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7C63130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7FDD375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64A23D42"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3F14EFA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213AE25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6B09E31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7558FD9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72061BD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6F67F78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028FD4D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39BF8C1A" w14:textId="77777777" w:rsidTr="00CB21CF">
        <w:trPr>
          <w:trHeight w:val="300"/>
        </w:trPr>
        <w:tc>
          <w:tcPr>
            <w:tcW w:w="1023" w:type="pct"/>
            <w:noWrap/>
            <w:hideMark/>
          </w:tcPr>
          <w:p w14:paraId="6DD7430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Public Safety</w:t>
            </w:r>
          </w:p>
        </w:tc>
        <w:tc>
          <w:tcPr>
            <w:tcW w:w="344" w:type="pct"/>
            <w:hideMark/>
          </w:tcPr>
          <w:p w14:paraId="763474E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DJJ</w:t>
            </w:r>
          </w:p>
        </w:tc>
        <w:tc>
          <w:tcPr>
            <w:tcW w:w="675" w:type="pct"/>
            <w:hideMark/>
          </w:tcPr>
          <w:p w14:paraId="5576D09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Juvenile Justice</w:t>
            </w:r>
          </w:p>
        </w:tc>
        <w:tc>
          <w:tcPr>
            <w:tcW w:w="219" w:type="pct"/>
            <w:hideMark/>
          </w:tcPr>
          <w:p w14:paraId="4A2DDE2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5CAFF36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6518A41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7D5B9D4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3EADC353"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2B2B1DD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3024C76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0E019AE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6EA0280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112D1A9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0A610E2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4868FA6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1CAEE5FD" w14:textId="77777777" w:rsidTr="00CB21CF">
        <w:trPr>
          <w:trHeight w:val="300"/>
        </w:trPr>
        <w:tc>
          <w:tcPr>
            <w:tcW w:w="1023" w:type="pct"/>
            <w:noWrap/>
            <w:hideMark/>
          </w:tcPr>
          <w:p w14:paraId="046E95A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Public Safety</w:t>
            </w:r>
          </w:p>
        </w:tc>
        <w:tc>
          <w:tcPr>
            <w:tcW w:w="344" w:type="pct"/>
            <w:hideMark/>
          </w:tcPr>
          <w:p w14:paraId="21707AE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DOC</w:t>
            </w:r>
          </w:p>
        </w:tc>
        <w:tc>
          <w:tcPr>
            <w:tcW w:w="675" w:type="pct"/>
            <w:hideMark/>
          </w:tcPr>
          <w:p w14:paraId="7327586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Corrections</w:t>
            </w:r>
          </w:p>
        </w:tc>
        <w:tc>
          <w:tcPr>
            <w:tcW w:w="219" w:type="pct"/>
            <w:hideMark/>
          </w:tcPr>
          <w:p w14:paraId="4776CCD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339C5BB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1076997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30EAA0A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3423185D"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33%</w:t>
            </w:r>
          </w:p>
        </w:tc>
        <w:tc>
          <w:tcPr>
            <w:tcW w:w="247" w:type="pct"/>
            <w:hideMark/>
          </w:tcPr>
          <w:p w14:paraId="416A89D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2F37DA9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79%</w:t>
            </w:r>
          </w:p>
        </w:tc>
        <w:tc>
          <w:tcPr>
            <w:tcW w:w="263" w:type="pct"/>
            <w:hideMark/>
          </w:tcPr>
          <w:p w14:paraId="0CC8F37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90%</w:t>
            </w:r>
          </w:p>
        </w:tc>
        <w:tc>
          <w:tcPr>
            <w:tcW w:w="248" w:type="pct"/>
            <w:hideMark/>
          </w:tcPr>
          <w:p w14:paraId="14313A0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3F8C0CE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7AD835D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539641DC"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1FB249E3" w14:textId="77777777" w:rsidTr="00CB21CF">
        <w:trPr>
          <w:trHeight w:val="300"/>
        </w:trPr>
        <w:tc>
          <w:tcPr>
            <w:tcW w:w="1023" w:type="pct"/>
            <w:noWrap/>
            <w:hideMark/>
          </w:tcPr>
          <w:p w14:paraId="7CB9E45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Public Safety</w:t>
            </w:r>
          </w:p>
        </w:tc>
        <w:tc>
          <w:tcPr>
            <w:tcW w:w="344" w:type="pct"/>
            <w:hideMark/>
          </w:tcPr>
          <w:p w14:paraId="0279B7C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VDEM</w:t>
            </w:r>
          </w:p>
        </w:tc>
        <w:tc>
          <w:tcPr>
            <w:tcW w:w="675" w:type="pct"/>
            <w:hideMark/>
          </w:tcPr>
          <w:p w14:paraId="128AE1A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Department of Emergency Management</w:t>
            </w:r>
          </w:p>
        </w:tc>
        <w:tc>
          <w:tcPr>
            <w:tcW w:w="219" w:type="pct"/>
            <w:hideMark/>
          </w:tcPr>
          <w:p w14:paraId="74FF46D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004CA28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170416B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12E960F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N/C</w:t>
            </w:r>
          </w:p>
        </w:tc>
        <w:tc>
          <w:tcPr>
            <w:tcW w:w="226" w:type="pct"/>
            <w:hideMark/>
          </w:tcPr>
          <w:p w14:paraId="1E3A1286"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N/C</w:t>
            </w:r>
          </w:p>
        </w:tc>
        <w:tc>
          <w:tcPr>
            <w:tcW w:w="247" w:type="pct"/>
            <w:hideMark/>
          </w:tcPr>
          <w:p w14:paraId="34E5511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5C64A41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63" w:type="pct"/>
            <w:hideMark/>
          </w:tcPr>
          <w:p w14:paraId="1BF6E94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34%</w:t>
            </w:r>
          </w:p>
        </w:tc>
        <w:tc>
          <w:tcPr>
            <w:tcW w:w="248" w:type="pct"/>
            <w:hideMark/>
          </w:tcPr>
          <w:p w14:paraId="6A6139F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33%</w:t>
            </w:r>
          </w:p>
        </w:tc>
        <w:tc>
          <w:tcPr>
            <w:tcW w:w="191" w:type="pct"/>
            <w:hideMark/>
          </w:tcPr>
          <w:p w14:paraId="2EF9906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335" w:type="pct"/>
            <w:hideMark/>
          </w:tcPr>
          <w:p w14:paraId="3725607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26" w:type="pct"/>
            <w:hideMark/>
          </w:tcPr>
          <w:p w14:paraId="2FF26CA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r>
      <w:tr w:rsidR="00A9394E" w:rsidRPr="003B60CC" w14:paraId="50431B3C" w14:textId="77777777" w:rsidTr="00CB21CF">
        <w:trPr>
          <w:trHeight w:val="300"/>
        </w:trPr>
        <w:tc>
          <w:tcPr>
            <w:tcW w:w="1023" w:type="pct"/>
            <w:noWrap/>
            <w:hideMark/>
          </w:tcPr>
          <w:p w14:paraId="15C94B0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Public Safety</w:t>
            </w:r>
          </w:p>
        </w:tc>
        <w:tc>
          <w:tcPr>
            <w:tcW w:w="344" w:type="pct"/>
            <w:hideMark/>
          </w:tcPr>
          <w:p w14:paraId="665022E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VSP</w:t>
            </w:r>
          </w:p>
        </w:tc>
        <w:tc>
          <w:tcPr>
            <w:tcW w:w="675" w:type="pct"/>
            <w:hideMark/>
          </w:tcPr>
          <w:p w14:paraId="2B58168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State Police</w:t>
            </w:r>
          </w:p>
        </w:tc>
        <w:tc>
          <w:tcPr>
            <w:tcW w:w="219" w:type="pct"/>
            <w:hideMark/>
          </w:tcPr>
          <w:p w14:paraId="6D659A6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6DE22FD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19517E9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6672C8C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5C8CD37B"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0%</w:t>
            </w:r>
          </w:p>
        </w:tc>
        <w:tc>
          <w:tcPr>
            <w:tcW w:w="247" w:type="pct"/>
            <w:hideMark/>
          </w:tcPr>
          <w:p w14:paraId="2199EC1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29027F4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63" w:type="pct"/>
            <w:hideMark/>
          </w:tcPr>
          <w:p w14:paraId="5FDA841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61%</w:t>
            </w:r>
          </w:p>
        </w:tc>
        <w:tc>
          <w:tcPr>
            <w:tcW w:w="248" w:type="pct"/>
            <w:hideMark/>
          </w:tcPr>
          <w:p w14:paraId="5D0B2FE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75%</w:t>
            </w:r>
          </w:p>
        </w:tc>
        <w:tc>
          <w:tcPr>
            <w:tcW w:w="191" w:type="pct"/>
            <w:hideMark/>
          </w:tcPr>
          <w:p w14:paraId="1139122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5579165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26" w:type="pct"/>
            <w:hideMark/>
          </w:tcPr>
          <w:p w14:paraId="215BC53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7816D36E" w14:textId="77777777" w:rsidTr="00CB21CF">
        <w:trPr>
          <w:trHeight w:val="300"/>
        </w:trPr>
        <w:tc>
          <w:tcPr>
            <w:tcW w:w="1023" w:type="pct"/>
            <w:noWrap/>
            <w:hideMark/>
          </w:tcPr>
          <w:p w14:paraId="3978BC8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Transportation</w:t>
            </w:r>
          </w:p>
        </w:tc>
        <w:tc>
          <w:tcPr>
            <w:tcW w:w="344" w:type="pct"/>
            <w:hideMark/>
          </w:tcPr>
          <w:p w14:paraId="67E4E71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DMV</w:t>
            </w:r>
          </w:p>
        </w:tc>
        <w:tc>
          <w:tcPr>
            <w:tcW w:w="675" w:type="pct"/>
            <w:hideMark/>
          </w:tcPr>
          <w:p w14:paraId="538381E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Motor Vehicles</w:t>
            </w:r>
          </w:p>
        </w:tc>
        <w:tc>
          <w:tcPr>
            <w:tcW w:w="219" w:type="pct"/>
            <w:hideMark/>
          </w:tcPr>
          <w:p w14:paraId="771C4FF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1435968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66DC3EA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2A5CCB2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44E9CD37"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80%</w:t>
            </w:r>
          </w:p>
        </w:tc>
        <w:tc>
          <w:tcPr>
            <w:tcW w:w="247" w:type="pct"/>
            <w:hideMark/>
          </w:tcPr>
          <w:p w14:paraId="5872861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0%</w:t>
            </w:r>
          </w:p>
        </w:tc>
        <w:tc>
          <w:tcPr>
            <w:tcW w:w="226" w:type="pct"/>
            <w:hideMark/>
          </w:tcPr>
          <w:p w14:paraId="3C8F8C7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62%</w:t>
            </w:r>
          </w:p>
        </w:tc>
        <w:tc>
          <w:tcPr>
            <w:tcW w:w="263" w:type="pct"/>
            <w:hideMark/>
          </w:tcPr>
          <w:p w14:paraId="6A0C256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52%</w:t>
            </w:r>
          </w:p>
        </w:tc>
        <w:tc>
          <w:tcPr>
            <w:tcW w:w="248" w:type="pct"/>
            <w:hideMark/>
          </w:tcPr>
          <w:p w14:paraId="6F0352B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89%</w:t>
            </w:r>
          </w:p>
        </w:tc>
        <w:tc>
          <w:tcPr>
            <w:tcW w:w="191" w:type="pct"/>
            <w:hideMark/>
          </w:tcPr>
          <w:p w14:paraId="6D88BA6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3162DFC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31%</w:t>
            </w:r>
          </w:p>
        </w:tc>
        <w:tc>
          <w:tcPr>
            <w:tcW w:w="226" w:type="pct"/>
            <w:hideMark/>
          </w:tcPr>
          <w:p w14:paraId="393076B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4E10C5C3" w14:textId="77777777" w:rsidTr="00CB21CF">
        <w:trPr>
          <w:trHeight w:val="300"/>
        </w:trPr>
        <w:tc>
          <w:tcPr>
            <w:tcW w:w="1023" w:type="pct"/>
            <w:noWrap/>
            <w:hideMark/>
          </w:tcPr>
          <w:p w14:paraId="1EBA267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Transportation</w:t>
            </w:r>
          </w:p>
        </w:tc>
        <w:tc>
          <w:tcPr>
            <w:tcW w:w="344" w:type="pct"/>
            <w:hideMark/>
          </w:tcPr>
          <w:p w14:paraId="66624E5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DOAV</w:t>
            </w:r>
          </w:p>
        </w:tc>
        <w:tc>
          <w:tcPr>
            <w:tcW w:w="675" w:type="pct"/>
            <w:hideMark/>
          </w:tcPr>
          <w:p w14:paraId="64633DE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Aviation</w:t>
            </w:r>
          </w:p>
        </w:tc>
        <w:tc>
          <w:tcPr>
            <w:tcW w:w="219" w:type="pct"/>
            <w:hideMark/>
          </w:tcPr>
          <w:p w14:paraId="4E4AEE3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2BA23E6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0A41B22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155BE10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00D57EA0"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19677DD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32547AE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6DFBB94F"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6D00F58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58D8652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00AD880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1C48158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228588D1" w14:textId="77777777" w:rsidTr="00CB21CF">
        <w:trPr>
          <w:trHeight w:val="300"/>
        </w:trPr>
        <w:tc>
          <w:tcPr>
            <w:tcW w:w="1023" w:type="pct"/>
            <w:noWrap/>
            <w:hideMark/>
          </w:tcPr>
          <w:p w14:paraId="747FAFE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Transportation</w:t>
            </w:r>
          </w:p>
        </w:tc>
        <w:tc>
          <w:tcPr>
            <w:tcW w:w="344" w:type="pct"/>
            <w:hideMark/>
          </w:tcPr>
          <w:p w14:paraId="618BA6C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DRPT</w:t>
            </w:r>
          </w:p>
        </w:tc>
        <w:tc>
          <w:tcPr>
            <w:tcW w:w="675" w:type="pct"/>
            <w:hideMark/>
          </w:tcPr>
          <w:p w14:paraId="458AF2B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Rail and Public Transportation</w:t>
            </w:r>
          </w:p>
        </w:tc>
        <w:tc>
          <w:tcPr>
            <w:tcW w:w="219" w:type="pct"/>
            <w:hideMark/>
          </w:tcPr>
          <w:p w14:paraId="7E8F4EEB"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5AD37CC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7E672F1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578774A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029313F2"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5F70E64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093E466D"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352082EA"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3B4B112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49DD6C8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4E98E70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5AE3168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1D609B38" w14:textId="77777777" w:rsidTr="00CB21CF">
        <w:trPr>
          <w:trHeight w:val="300"/>
        </w:trPr>
        <w:tc>
          <w:tcPr>
            <w:tcW w:w="1023" w:type="pct"/>
            <w:noWrap/>
            <w:hideMark/>
          </w:tcPr>
          <w:p w14:paraId="77DE836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Transportation</w:t>
            </w:r>
          </w:p>
        </w:tc>
        <w:tc>
          <w:tcPr>
            <w:tcW w:w="344" w:type="pct"/>
            <w:hideMark/>
          </w:tcPr>
          <w:p w14:paraId="2E64F41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MVDB</w:t>
            </w:r>
          </w:p>
        </w:tc>
        <w:tc>
          <w:tcPr>
            <w:tcW w:w="675" w:type="pct"/>
            <w:hideMark/>
          </w:tcPr>
          <w:p w14:paraId="71F4199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Motor Vehicle Dealer Board</w:t>
            </w:r>
          </w:p>
        </w:tc>
        <w:tc>
          <w:tcPr>
            <w:tcW w:w="219" w:type="pct"/>
            <w:hideMark/>
          </w:tcPr>
          <w:p w14:paraId="3C86F23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207" w:type="pct"/>
            <w:hideMark/>
          </w:tcPr>
          <w:p w14:paraId="2007674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Yes</w:t>
            </w:r>
          </w:p>
        </w:tc>
        <w:tc>
          <w:tcPr>
            <w:tcW w:w="326" w:type="pct"/>
            <w:hideMark/>
          </w:tcPr>
          <w:p w14:paraId="5711B7D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5DC714B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39728740"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N/A</w:t>
            </w:r>
          </w:p>
        </w:tc>
        <w:tc>
          <w:tcPr>
            <w:tcW w:w="247" w:type="pct"/>
            <w:hideMark/>
          </w:tcPr>
          <w:p w14:paraId="79BB62C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24C8BBB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43D726E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2FFBBB8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83%</w:t>
            </w:r>
          </w:p>
        </w:tc>
        <w:tc>
          <w:tcPr>
            <w:tcW w:w="191" w:type="pct"/>
            <w:hideMark/>
          </w:tcPr>
          <w:p w14:paraId="675583C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56AC63E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2E82224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4E92F971" w14:textId="77777777" w:rsidTr="00CB21CF">
        <w:trPr>
          <w:trHeight w:val="300"/>
        </w:trPr>
        <w:tc>
          <w:tcPr>
            <w:tcW w:w="1023" w:type="pct"/>
            <w:noWrap/>
            <w:hideMark/>
          </w:tcPr>
          <w:p w14:paraId="1E2F8132"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Transportation</w:t>
            </w:r>
          </w:p>
        </w:tc>
        <w:tc>
          <w:tcPr>
            <w:tcW w:w="344" w:type="pct"/>
            <w:hideMark/>
          </w:tcPr>
          <w:p w14:paraId="1F7C2A7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VDOT</w:t>
            </w:r>
          </w:p>
        </w:tc>
        <w:tc>
          <w:tcPr>
            <w:tcW w:w="675" w:type="pct"/>
            <w:hideMark/>
          </w:tcPr>
          <w:p w14:paraId="7974EB4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Virginia Department of Transportation</w:t>
            </w:r>
          </w:p>
        </w:tc>
        <w:tc>
          <w:tcPr>
            <w:tcW w:w="219" w:type="pct"/>
            <w:hideMark/>
          </w:tcPr>
          <w:p w14:paraId="15729514"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67CDE00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60185C7C"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21A0E920"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351C2F91"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1559975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290F609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70%</w:t>
            </w:r>
          </w:p>
        </w:tc>
        <w:tc>
          <w:tcPr>
            <w:tcW w:w="263" w:type="pct"/>
            <w:hideMark/>
          </w:tcPr>
          <w:p w14:paraId="4DF82F2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90%</w:t>
            </w:r>
          </w:p>
        </w:tc>
        <w:tc>
          <w:tcPr>
            <w:tcW w:w="248" w:type="pct"/>
            <w:hideMark/>
          </w:tcPr>
          <w:p w14:paraId="4534F56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79%</w:t>
            </w:r>
          </w:p>
        </w:tc>
        <w:tc>
          <w:tcPr>
            <w:tcW w:w="191" w:type="pct"/>
            <w:hideMark/>
          </w:tcPr>
          <w:p w14:paraId="1BB675C3"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41D0866B"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73%</w:t>
            </w:r>
          </w:p>
        </w:tc>
        <w:tc>
          <w:tcPr>
            <w:tcW w:w="226" w:type="pct"/>
            <w:hideMark/>
          </w:tcPr>
          <w:p w14:paraId="77C182C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r w:rsidR="00A9394E" w:rsidRPr="003B60CC" w14:paraId="539495B7" w14:textId="77777777" w:rsidTr="00CB21CF">
        <w:trPr>
          <w:trHeight w:val="300"/>
        </w:trPr>
        <w:tc>
          <w:tcPr>
            <w:tcW w:w="1023" w:type="pct"/>
            <w:noWrap/>
            <w:hideMark/>
          </w:tcPr>
          <w:p w14:paraId="777832A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Veterans and Defense Affairs</w:t>
            </w:r>
          </w:p>
        </w:tc>
        <w:tc>
          <w:tcPr>
            <w:tcW w:w="344" w:type="pct"/>
            <w:hideMark/>
          </w:tcPr>
          <w:p w14:paraId="593BF8E6"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DMA</w:t>
            </w:r>
          </w:p>
        </w:tc>
        <w:tc>
          <w:tcPr>
            <w:tcW w:w="675" w:type="pct"/>
            <w:hideMark/>
          </w:tcPr>
          <w:p w14:paraId="6CC86D4A"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Military Affairs</w:t>
            </w:r>
          </w:p>
        </w:tc>
        <w:tc>
          <w:tcPr>
            <w:tcW w:w="219" w:type="pct"/>
            <w:hideMark/>
          </w:tcPr>
          <w:p w14:paraId="601592A3"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36A7607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4E2D7D1E"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4225BC5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N/C</w:t>
            </w:r>
          </w:p>
        </w:tc>
        <w:tc>
          <w:tcPr>
            <w:tcW w:w="226" w:type="pct"/>
            <w:hideMark/>
          </w:tcPr>
          <w:p w14:paraId="3CB74AA5"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N/C</w:t>
            </w:r>
          </w:p>
        </w:tc>
        <w:tc>
          <w:tcPr>
            <w:tcW w:w="247" w:type="pct"/>
            <w:hideMark/>
          </w:tcPr>
          <w:p w14:paraId="5EB76B2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3D961DB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63" w:type="pct"/>
            <w:hideMark/>
          </w:tcPr>
          <w:p w14:paraId="42FDF26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34%</w:t>
            </w:r>
          </w:p>
        </w:tc>
        <w:tc>
          <w:tcPr>
            <w:tcW w:w="248" w:type="pct"/>
            <w:hideMark/>
          </w:tcPr>
          <w:p w14:paraId="234A4BB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42%</w:t>
            </w:r>
          </w:p>
        </w:tc>
        <w:tc>
          <w:tcPr>
            <w:tcW w:w="191" w:type="pct"/>
            <w:hideMark/>
          </w:tcPr>
          <w:p w14:paraId="74477894"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335" w:type="pct"/>
            <w:hideMark/>
          </w:tcPr>
          <w:p w14:paraId="74E9C272"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c>
          <w:tcPr>
            <w:tcW w:w="226" w:type="pct"/>
            <w:hideMark/>
          </w:tcPr>
          <w:p w14:paraId="46D572D8"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N/C</w:t>
            </w:r>
          </w:p>
        </w:tc>
      </w:tr>
      <w:tr w:rsidR="00A9394E" w:rsidRPr="003B60CC" w14:paraId="67555D15" w14:textId="77777777" w:rsidTr="00CB21CF">
        <w:trPr>
          <w:trHeight w:val="300"/>
        </w:trPr>
        <w:tc>
          <w:tcPr>
            <w:tcW w:w="1023" w:type="pct"/>
            <w:noWrap/>
            <w:hideMark/>
          </w:tcPr>
          <w:p w14:paraId="06406347"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Veterans and Defense Affairs</w:t>
            </w:r>
          </w:p>
        </w:tc>
        <w:tc>
          <w:tcPr>
            <w:tcW w:w="344" w:type="pct"/>
            <w:hideMark/>
          </w:tcPr>
          <w:p w14:paraId="6F2D4D71"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DVS</w:t>
            </w:r>
          </w:p>
        </w:tc>
        <w:tc>
          <w:tcPr>
            <w:tcW w:w="675" w:type="pct"/>
            <w:hideMark/>
          </w:tcPr>
          <w:p w14:paraId="3800E029"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Department of Veterans Services</w:t>
            </w:r>
          </w:p>
        </w:tc>
        <w:tc>
          <w:tcPr>
            <w:tcW w:w="219" w:type="pct"/>
            <w:hideMark/>
          </w:tcPr>
          <w:p w14:paraId="14A46555"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207" w:type="pct"/>
            <w:hideMark/>
          </w:tcPr>
          <w:p w14:paraId="01D01898"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No</w:t>
            </w:r>
          </w:p>
        </w:tc>
        <w:tc>
          <w:tcPr>
            <w:tcW w:w="326" w:type="pct"/>
            <w:hideMark/>
          </w:tcPr>
          <w:p w14:paraId="274C20DD"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45" w:type="pct"/>
            <w:hideMark/>
          </w:tcPr>
          <w:p w14:paraId="2E95871F" w14:textId="77777777" w:rsidR="00A9394E" w:rsidRPr="003B60CC" w:rsidRDefault="00A9394E" w:rsidP="00973A32">
            <w:pPr>
              <w:rPr>
                <w:rFonts w:ascii="Verdana" w:hAnsi="Verdana" w:cs="Calibri"/>
                <w:sz w:val="16"/>
                <w:szCs w:val="16"/>
              </w:rPr>
            </w:pPr>
            <w:r w:rsidRPr="003B60CC">
              <w:rPr>
                <w:rFonts w:ascii="Verdana" w:hAnsi="Verdana" w:cs="Calibri"/>
                <w:sz w:val="16"/>
                <w:szCs w:val="16"/>
              </w:rPr>
              <w:t>Pass</w:t>
            </w:r>
          </w:p>
        </w:tc>
        <w:tc>
          <w:tcPr>
            <w:tcW w:w="226" w:type="pct"/>
            <w:hideMark/>
          </w:tcPr>
          <w:p w14:paraId="396D69A8" w14:textId="77777777" w:rsidR="00A9394E" w:rsidRPr="003B60CC" w:rsidRDefault="00A9394E" w:rsidP="00973A32">
            <w:pPr>
              <w:jc w:val="right"/>
              <w:rPr>
                <w:rFonts w:ascii="Verdana" w:hAnsi="Verdana" w:cs="Calibri"/>
                <w:sz w:val="16"/>
                <w:szCs w:val="16"/>
              </w:rPr>
            </w:pPr>
            <w:r w:rsidRPr="003B60CC">
              <w:rPr>
                <w:rFonts w:ascii="Verdana" w:hAnsi="Verdana" w:cs="Calibri"/>
                <w:sz w:val="16"/>
                <w:szCs w:val="16"/>
              </w:rPr>
              <w:t>100%</w:t>
            </w:r>
          </w:p>
        </w:tc>
        <w:tc>
          <w:tcPr>
            <w:tcW w:w="247" w:type="pct"/>
            <w:hideMark/>
          </w:tcPr>
          <w:p w14:paraId="357B311E"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N/A</w:t>
            </w:r>
          </w:p>
        </w:tc>
        <w:tc>
          <w:tcPr>
            <w:tcW w:w="226" w:type="pct"/>
            <w:hideMark/>
          </w:tcPr>
          <w:p w14:paraId="521812A1"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63" w:type="pct"/>
            <w:hideMark/>
          </w:tcPr>
          <w:p w14:paraId="008F9650"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48" w:type="pct"/>
            <w:hideMark/>
          </w:tcPr>
          <w:p w14:paraId="1F863D27"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191" w:type="pct"/>
            <w:hideMark/>
          </w:tcPr>
          <w:p w14:paraId="7BE4BC95"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Pass</w:t>
            </w:r>
          </w:p>
        </w:tc>
        <w:tc>
          <w:tcPr>
            <w:tcW w:w="335" w:type="pct"/>
            <w:hideMark/>
          </w:tcPr>
          <w:p w14:paraId="1123AD69"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c>
          <w:tcPr>
            <w:tcW w:w="226" w:type="pct"/>
            <w:hideMark/>
          </w:tcPr>
          <w:p w14:paraId="20C04806" w14:textId="77777777" w:rsidR="00A9394E" w:rsidRPr="003B60CC" w:rsidRDefault="00A9394E" w:rsidP="008D31D8">
            <w:pPr>
              <w:jc w:val="center"/>
              <w:rPr>
                <w:rFonts w:ascii="Verdana" w:hAnsi="Verdana" w:cs="Calibri"/>
                <w:sz w:val="16"/>
                <w:szCs w:val="16"/>
              </w:rPr>
            </w:pPr>
            <w:r w:rsidRPr="003B60CC">
              <w:rPr>
                <w:rFonts w:ascii="Verdana" w:hAnsi="Verdana" w:cs="Calibri"/>
                <w:sz w:val="16"/>
                <w:szCs w:val="16"/>
              </w:rPr>
              <w:t>100%</w:t>
            </w:r>
          </w:p>
        </w:tc>
      </w:tr>
    </w:tbl>
    <w:p w14:paraId="2DA4A811" w14:textId="77777777" w:rsidR="00BB4FF0" w:rsidRPr="00377362" w:rsidRDefault="00BB4FF0" w:rsidP="005E78B0">
      <w:pPr>
        <w:pStyle w:val="Heading2"/>
        <w:rPr>
          <w:highlight w:val="yellow"/>
        </w:rPr>
        <w:sectPr w:rsidR="00BB4FF0" w:rsidRPr="00377362" w:rsidSect="0067666C">
          <w:type w:val="continuous"/>
          <w:pgSz w:w="15840" w:h="12240" w:orient="landscape" w:code="1"/>
          <w:pgMar w:top="720" w:right="720" w:bottom="720" w:left="720" w:header="720" w:footer="720" w:gutter="0"/>
          <w:cols w:space="720"/>
          <w:docGrid w:linePitch="360"/>
        </w:sectPr>
      </w:pPr>
    </w:p>
    <w:p w14:paraId="4649C714" w14:textId="50838E57" w:rsidR="005E78B0" w:rsidRPr="00D075FF" w:rsidDel="00EE33C8" w:rsidRDefault="005E78B0" w:rsidP="00D075FF">
      <w:pPr>
        <w:pStyle w:val="Heading1"/>
        <w:rPr>
          <w:rFonts w:ascii="Verdana" w:hAnsi="Verdana"/>
          <w:sz w:val="24"/>
        </w:rPr>
      </w:pPr>
      <w:bookmarkStart w:id="36" w:name="_Toc14262291"/>
      <w:r w:rsidRPr="00D075FF" w:rsidDel="00EE33C8">
        <w:rPr>
          <w:rFonts w:ascii="Verdana" w:hAnsi="Verdana"/>
          <w:sz w:val="24"/>
        </w:rPr>
        <w:t xml:space="preserve">Appendix III – Cybersecurity </w:t>
      </w:r>
      <w:r w:rsidR="002B773E" w:rsidRPr="00D075FF">
        <w:rPr>
          <w:rFonts w:ascii="Verdana" w:hAnsi="Verdana"/>
          <w:sz w:val="24"/>
        </w:rPr>
        <w:t>f</w:t>
      </w:r>
      <w:r w:rsidRPr="00D075FF" w:rsidDel="00EE33C8">
        <w:rPr>
          <w:rFonts w:ascii="Verdana" w:hAnsi="Verdana"/>
          <w:sz w:val="24"/>
        </w:rPr>
        <w:t xml:space="preserve">ramework </w:t>
      </w:r>
      <w:r w:rsidR="002B773E" w:rsidRPr="00D075FF">
        <w:rPr>
          <w:rFonts w:ascii="Verdana" w:hAnsi="Verdana"/>
          <w:sz w:val="24"/>
        </w:rPr>
        <w:t>r</w:t>
      </w:r>
      <w:r w:rsidRPr="00D075FF" w:rsidDel="00EE33C8">
        <w:rPr>
          <w:rFonts w:ascii="Verdana" w:hAnsi="Verdana"/>
          <w:sz w:val="24"/>
        </w:rPr>
        <w:t xml:space="preserve">esults </w:t>
      </w:r>
      <w:r w:rsidR="00C57BD7" w:rsidRPr="00D075FF" w:rsidDel="00EE33C8">
        <w:rPr>
          <w:rFonts w:ascii="Verdana" w:hAnsi="Verdana"/>
          <w:sz w:val="24"/>
        </w:rPr>
        <w:t>–</w:t>
      </w:r>
      <w:r w:rsidRPr="00D075FF" w:rsidDel="00EE33C8">
        <w:rPr>
          <w:rFonts w:ascii="Verdana" w:hAnsi="Verdana"/>
          <w:sz w:val="24"/>
        </w:rPr>
        <w:t xml:space="preserve"> Detail</w:t>
      </w:r>
      <w:bookmarkEnd w:id="36"/>
    </w:p>
    <w:p w14:paraId="2913C712" w14:textId="6B83AE79" w:rsidR="00CA3528" w:rsidRPr="003B60CC" w:rsidRDefault="00EE33C8" w:rsidP="00CA3528">
      <w:pPr>
        <w:rPr>
          <w:rFonts w:ascii="Verdana" w:hAnsi="Verdana"/>
          <w:sz w:val="22"/>
          <w:szCs w:val="22"/>
        </w:rPr>
      </w:pPr>
      <w:r w:rsidRPr="003B60CC">
        <w:rPr>
          <w:rFonts w:ascii="Verdana" w:hAnsi="Verdana"/>
          <w:sz w:val="22"/>
        </w:rPr>
        <w:t xml:space="preserve">National Cyber Security Review (NCSR) Results </w:t>
      </w:r>
      <w:r w:rsidRPr="003B60CC">
        <w:rPr>
          <w:rFonts w:ascii="Verdana" w:hAnsi="Verdana"/>
          <w:sz w:val="22"/>
        </w:rPr>
        <w:br/>
      </w:r>
    </w:p>
    <w:p w14:paraId="43400D4C" w14:textId="77777777" w:rsidR="00084E4F" w:rsidRPr="003B60CC" w:rsidRDefault="00084E4F" w:rsidP="00084E4F">
      <w:pPr>
        <w:rPr>
          <w:rFonts w:ascii="Verdana" w:hAnsi="Verdana"/>
          <w:b/>
          <w:sz w:val="22"/>
          <w:szCs w:val="22"/>
          <w:u w:val="single"/>
        </w:rPr>
      </w:pPr>
      <w:r w:rsidRPr="003B60CC">
        <w:rPr>
          <w:rFonts w:ascii="Verdana" w:hAnsi="Verdana"/>
          <w:b/>
          <w:sz w:val="22"/>
          <w:szCs w:val="22"/>
          <w:u w:val="single"/>
        </w:rPr>
        <w:t>Maturity Level Legend</w:t>
      </w:r>
    </w:p>
    <w:p w14:paraId="0B4AF2B5" w14:textId="77777777" w:rsidR="00084E4F" w:rsidRPr="003B60CC" w:rsidRDefault="00084E4F" w:rsidP="00084E4F">
      <w:pPr>
        <w:rPr>
          <w:rFonts w:ascii="Verdana" w:hAnsi="Verdana"/>
          <w:sz w:val="22"/>
          <w:szCs w:val="22"/>
        </w:rPr>
      </w:pPr>
      <w:r w:rsidRPr="003B60CC">
        <w:rPr>
          <w:rFonts w:ascii="Verdana" w:hAnsi="Verdana"/>
          <w:sz w:val="22"/>
          <w:szCs w:val="22"/>
        </w:rPr>
        <w:t>7 – Optimized</w:t>
      </w:r>
    </w:p>
    <w:p w14:paraId="554DB1EA" w14:textId="77777777" w:rsidR="00084E4F" w:rsidRPr="003B60CC" w:rsidRDefault="00084E4F" w:rsidP="00084E4F">
      <w:pPr>
        <w:rPr>
          <w:rFonts w:ascii="Verdana" w:hAnsi="Verdana"/>
          <w:sz w:val="22"/>
          <w:szCs w:val="22"/>
        </w:rPr>
      </w:pPr>
      <w:r w:rsidRPr="003B60CC">
        <w:rPr>
          <w:rFonts w:ascii="Verdana" w:hAnsi="Verdana"/>
          <w:sz w:val="22"/>
          <w:szCs w:val="22"/>
        </w:rPr>
        <w:t>6 – Tested and Verified</w:t>
      </w:r>
    </w:p>
    <w:p w14:paraId="20AF45A3" w14:textId="77777777" w:rsidR="00084E4F" w:rsidRPr="003B60CC" w:rsidRDefault="00084E4F" w:rsidP="00084E4F">
      <w:pPr>
        <w:rPr>
          <w:rFonts w:ascii="Verdana" w:hAnsi="Verdana"/>
          <w:sz w:val="22"/>
          <w:szCs w:val="22"/>
        </w:rPr>
      </w:pPr>
      <w:r w:rsidRPr="003B60CC">
        <w:rPr>
          <w:rFonts w:ascii="Verdana" w:hAnsi="Verdana"/>
          <w:sz w:val="22"/>
          <w:szCs w:val="22"/>
        </w:rPr>
        <w:t>5 – Implementation in Process</w:t>
      </w:r>
    </w:p>
    <w:p w14:paraId="7F0F39B4" w14:textId="77777777" w:rsidR="00084E4F" w:rsidRPr="003B60CC" w:rsidRDefault="00084E4F" w:rsidP="00084E4F">
      <w:pPr>
        <w:rPr>
          <w:rFonts w:ascii="Verdana" w:hAnsi="Verdana"/>
          <w:sz w:val="22"/>
          <w:szCs w:val="22"/>
        </w:rPr>
      </w:pPr>
      <w:r w:rsidRPr="003B60CC">
        <w:rPr>
          <w:rFonts w:ascii="Verdana" w:hAnsi="Verdana"/>
          <w:sz w:val="22"/>
          <w:szCs w:val="22"/>
        </w:rPr>
        <w:t>5 – Risk Formally Accepted</w:t>
      </w:r>
    </w:p>
    <w:p w14:paraId="0625B723" w14:textId="77777777" w:rsidR="00084E4F" w:rsidRPr="003B60CC" w:rsidRDefault="00084E4F" w:rsidP="00084E4F">
      <w:pPr>
        <w:rPr>
          <w:rFonts w:ascii="Verdana" w:hAnsi="Verdana"/>
          <w:sz w:val="22"/>
          <w:szCs w:val="22"/>
        </w:rPr>
      </w:pPr>
      <w:r w:rsidRPr="003B60CC">
        <w:rPr>
          <w:rFonts w:ascii="Verdana" w:hAnsi="Verdana"/>
          <w:sz w:val="22"/>
          <w:szCs w:val="22"/>
        </w:rPr>
        <w:t>4 –Partially Documented Standards and/or Procedures</w:t>
      </w:r>
    </w:p>
    <w:p w14:paraId="6FEF8038" w14:textId="77777777" w:rsidR="00084E4F" w:rsidRPr="003B60CC" w:rsidRDefault="00084E4F" w:rsidP="00084E4F">
      <w:pPr>
        <w:rPr>
          <w:rFonts w:ascii="Verdana" w:hAnsi="Verdana"/>
          <w:sz w:val="22"/>
          <w:szCs w:val="22"/>
        </w:rPr>
      </w:pPr>
      <w:r w:rsidRPr="003B60CC">
        <w:rPr>
          <w:rFonts w:ascii="Verdana" w:hAnsi="Verdana"/>
          <w:sz w:val="22"/>
          <w:szCs w:val="22"/>
        </w:rPr>
        <w:t>3 – Documented Policy</w:t>
      </w:r>
    </w:p>
    <w:p w14:paraId="5216E1A0" w14:textId="77777777" w:rsidR="00084E4F" w:rsidRPr="003B60CC" w:rsidRDefault="00084E4F" w:rsidP="00084E4F">
      <w:pPr>
        <w:rPr>
          <w:rFonts w:ascii="Verdana" w:hAnsi="Verdana"/>
          <w:sz w:val="22"/>
          <w:szCs w:val="22"/>
        </w:rPr>
      </w:pPr>
      <w:r w:rsidRPr="003B60CC">
        <w:rPr>
          <w:rFonts w:ascii="Verdana" w:hAnsi="Verdana"/>
          <w:sz w:val="22"/>
          <w:szCs w:val="22"/>
        </w:rPr>
        <w:t>2- Informally Performed</w:t>
      </w:r>
    </w:p>
    <w:p w14:paraId="52DA8593" w14:textId="77777777" w:rsidR="00084E4F" w:rsidRPr="003B60CC" w:rsidRDefault="00084E4F" w:rsidP="00084E4F">
      <w:pPr>
        <w:rPr>
          <w:rFonts w:ascii="Verdana" w:hAnsi="Verdana"/>
          <w:sz w:val="22"/>
          <w:szCs w:val="22"/>
        </w:rPr>
      </w:pPr>
      <w:r w:rsidRPr="003B60CC">
        <w:rPr>
          <w:rFonts w:ascii="Verdana" w:hAnsi="Verdana"/>
          <w:sz w:val="22"/>
          <w:szCs w:val="22"/>
        </w:rPr>
        <w:t>1 - Not Performed</w:t>
      </w:r>
    </w:p>
    <w:p w14:paraId="24433910" w14:textId="77777777" w:rsidR="00084E4F" w:rsidRPr="003B60CC" w:rsidRDefault="00084E4F" w:rsidP="00084E4F">
      <w:pPr>
        <w:rPr>
          <w:rFonts w:ascii="Verdana" w:hAnsi="Verdana"/>
          <w:i/>
          <w:sz w:val="22"/>
          <w:szCs w:val="22"/>
        </w:rPr>
      </w:pPr>
      <w:r w:rsidRPr="003B60CC">
        <w:rPr>
          <w:rFonts w:ascii="Verdana" w:hAnsi="Verdana"/>
          <w:i/>
          <w:sz w:val="22"/>
          <w:szCs w:val="22"/>
        </w:rPr>
        <w:t>0 -Agency did not complete the survey</w:t>
      </w:r>
    </w:p>
    <w:p w14:paraId="41F0DA6D" w14:textId="77777777" w:rsidR="00084E4F" w:rsidRPr="003B60CC" w:rsidRDefault="00084E4F" w:rsidP="00084E4F">
      <w:pPr>
        <w:rPr>
          <w:rFonts w:ascii="Verdana" w:hAnsi="Verdana"/>
          <w:i/>
          <w:sz w:val="22"/>
          <w:szCs w:val="22"/>
        </w:rPr>
      </w:pPr>
      <w:r w:rsidRPr="003B60CC">
        <w:rPr>
          <w:rFonts w:ascii="Verdana" w:hAnsi="Verdana"/>
          <w:i/>
          <w:sz w:val="22"/>
          <w:szCs w:val="22"/>
        </w:rPr>
        <w:t>* Recommended maturity level is 5 or higher</w:t>
      </w:r>
    </w:p>
    <w:p w14:paraId="4FF8699A" w14:textId="77777777" w:rsidR="00084E4F" w:rsidRDefault="00084E4F" w:rsidP="00084E4F">
      <w:pPr>
        <w:rPr>
          <w:rFonts w:ascii="Verdana" w:hAnsi="Verdana"/>
          <w:sz w:val="22"/>
          <w:szCs w:val="22"/>
          <w:highlight w:val="yellow"/>
        </w:rPr>
      </w:pPr>
    </w:p>
    <w:tbl>
      <w:tblPr>
        <w:tblStyle w:val="TableGrid1"/>
        <w:tblW w:w="9100" w:type="dxa"/>
        <w:tblLook w:val="04A0" w:firstRow="1" w:lastRow="0" w:firstColumn="1" w:lastColumn="0" w:noHBand="0" w:noVBand="1"/>
      </w:tblPr>
      <w:tblGrid>
        <w:gridCol w:w="3774"/>
        <w:gridCol w:w="960"/>
        <w:gridCol w:w="1080"/>
        <w:gridCol w:w="1020"/>
        <w:gridCol w:w="1104"/>
        <w:gridCol w:w="1162"/>
      </w:tblGrid>
      <w:tr w:rsidR="00973A32" w:rsidRPr="003B60CC" w14:paraId="056BB059" w14:textId="77777777" w:rsidTr="00E671B7">
        <w:trPr>
          <w:trHeight w:val="782"/>
          <w:tblHeader/>
        </w:trPr>
        <w:tc>
          <w:tcPr>
            <w:tcW w:w="3774" w:type="dxa"/>
            <w:vAlign w:val="center"/>
            <w:hideMark/>
          </w:tcPr>
          <w:p w14:paraId="300C389C" w14:textId="329565D5" w:rsidR="00973A32" w:rsidRPr="003B60CC" w:rsidRDefault="00973A32" w:rsidP="00E671B7">
            <w:pPr>
              <w:jc w:val="center"/>
              <w:rPr>
                <w:rFonts w:ascii="Calibri" w:hAnsi="Calibri" w:cs="Calibri"/>
                <w:b/>
                <w:sz w:val="22"/>
                <w:szCs w:val="22"/>
              </w:rPr>
            </w:pPr>
            <w:r>
              <w:rPr>
                <w:rFonts w:ascii="Calibri" w:hAnsi="Calibri" w:cs="Calibri"/>
                <w:b/>
                <w:sz w:val="22"/>
                <w:szCs w:val="22"/>
              </w:rPr>
              <w:t>Agency</w:t>
            </w:r>
          </w:p>
        </w:tc>
        <w:tc>
          <w:tcPr>
            <w:tcW w:w="960" w:type="dxa"/>
            <w:vAlign w:val="center"/>
            <w:hideMark/>
          </w:tcPr>
          <w:p w14:paraId="5FE47417" w14:textId="44CBB9E3" w:rsidR="00973A32" w:rsidRPr="003B60CC" w:rsidRDefault="00050791" w:rsidP="00541000">
            <w:pPr>
              <w:jc w:val="center"/>
              <w:rPr>
                <w:rFonts w:ascii="Calibri" w:hAnsi="Calibri" w:cs="Calibri"/>
                <w:b/>
                <w:sz w:val="22"/>
                <w:szCs w:val="22"/>
              </w:rPr>
            </w:pPr>
            <w:r>
              <w:rPr>
                <w:rFonts w:ascii="Calibri" w:hAnsi="Calibri" w:cs="Calibri"/>
                <w:b/>
                <w:sz w:val="22"/>
                <w:szCs w:val="22"/>
              </w:rPr>
              <w:t>Detect</w:t>
            </w:r>
          </w:p>
        </w:tc>
        <w:tc>
          <w:tcPr>
            <w:tcW w:w="1080" w:type="dxa"/>
            <w:vAlign w:val="center"/>
            <w:hideMark/>
          </w:tcPr>
          <w:p w14:paraId="5A4671C4" w14:textId="6262EB98" w:rsidR="00973A32" w:rsidRPr="003B60CC" w:rsidRDefault="00050791" w:rsidP="00541000">
            <w:pPr>
              <w:jc w:val="center"/>
              <w:rPr>
                <w:rFonts w:ascii="Calibri" w:hAnsi="Calibri" w:cs="Calibri"/>
                <w:b/>
                <w:sz w:val="22"/>
                <w:szCs w:val="22"/>
              </w:rPr>
            </w:pPr>
            <w:r>
              <w:rPr>
                <w:rFonts w:ascii="Calibri" w:hAnsi="Calibri" w:cs="Calibri"/>
                <w:b/>
                <w:sz w:val="22"/>
                <w:szCs w:val="22"/>
              </w:rPr>
              <w:t>Identify</w:t>
            </w:r>
          </w:p>
        </w:tc>
        <w:tc>
          <w:tcPr>
            <w:tcW w:w="1020" w:type="dxa"/>
            <w:vAlign w:val="center"/>
            <w:hideMark/>
          </w:tcPr>
          <w:p w14:paraId="5B875D1E" w14:textId="5DD94811" w:rsidR="00973A32" w:rsidRPr="003B60CC" w:rsidRDefault="00050791" w:rsidP="00541000">
            <w:pPr>
              <w:jc w:val="center"/>
              <w:rPr>
                <w:rFonts w:ascii="Calibri" w:hAnsi="Calibri" w:cs="Calibri"/>
                <w:b/>
                <w:sz w:val="22"/>
                <w:szCs w:val="22"/>
              </w:rPr>
            </w:pPr>
            <w:r>
              <w:rPr>
                <w:rFonts w:ascii="Calibri" w:hAnsi="Calibri" w:cs="Calibri"/>
                <w:b/>
                <w:sz w:val="22"/>
                <w:szCs w:val="22"/>
              </w:rPr>
              <w:t>Protect</w:t>
            </w:r>
          </w:p>
        </w:tc>
        <w:tc>
          <w:tcPr>
            <w:tcW w:w="1104" w:type="dxa"/>
            <w:vAlign w:val="center"/>
            <w:hideMark/>
          </w:tcPr>
          <w:p w14:paraId="730C3DD5" w14:textId="0D3CE217" w:rsidR="00973A32" w:rsidRPr="003B60CC" w:rsidRDefault="00050791" w:rsidP="00541000">
            <w:pPr>
              <w:jc w:val="center"/>
              <w:rPr>
                <w:rFonts w:ascii="Calibri" w:hAnsi="Calibri" w:cs="Calibri"/>
                <w:b/>
                <w:sz w:val="22"/>
                <w:szCs w:val="22"/>
              </w:rPr>
            </w:pPr>
            <w:r>
              <w:rPr>
                <w:rFonts w:ascii="Calibri" w:hAnsi="Calibri" w:cs="Calibri"/>
                <w:b/>
                <w:sz w:val="22"/>
                <w:szCs w:val="22"/>
              </w:rPr>
              <w:t>Recover</w:t>
            </w:r>
          </w:p>
        </w:tc>
        <w:tc>
          <w:tcPr>
            <w:tcW w:w="1162" w:type="dxa"/>
            <w:vAlign w:val="center"/>
            <w:hideMark/>
          </w:tcPr>
          <w:p w14:paraId="37AD10D6" w14:textId="4C605257" w:rsidR="00973A32" w:rsidRPr="003B60CC" w:rsidRDefault="00050791" w:rsidP="00541000">
            <w:pPr>
              <w:jc w:val="center"/>
              <w:rPr>
                <w:rFonts w:ascii="Calibri" w:hAnsi="Calibri" w:cs="Calibri"/>
                <w:b/>
                <w:sz w:val="22"/>
                <w:szCs w:val="22"/>
              </w:rPr>
            </w:pPr>
            <w:r>
              <w:rPr>
                <w:rFonts w:ascii="Calibri" w:hAnsi="Calibri" w:cs="Calibri"/>
                <w:b/>
                <w:sz w:val="22"/>
                <w:szCs w:val="22"/>
              </w:rPr>
              <w:t>Respond</w:t>
            </w:r>
          </w:p>
        </w:tc>
      </w:tr>
      <w:tr w:rsidR="00973A32" w:rsidRPr="00973A32" w14:paraId="36FA392A" w14:textId="77777777" w:rsidTr="00973A32">
        <w:trPr>
          <w:trHeight w:val="300"/>
        </w:trPr>
        <w:tc>
          <w:tcPr>
            <w:tcW w:w="3774" w:type="dxa"/>
            <w:noWrap/>
            <w:hideMark/>
          </w:tcPr>
          <w:p w14:paraId="0F58E834"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Criminal Justice Services</w:t>
            </w:r>
          </w:p>
        </w:tc>
        <w:tc>
          <w:tcPr>
            <w:tcW w:w="960" w:type="dxa"/>
            <w:noWrap/>
            <w:hideMark/>
          </w:tcPr>
          <w:p w14:paraId="60D0CA43"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2.33</w:t>
            </w:r>
          </w:p>
        </w:tc>
        <w:tc>
          <w:tcPr>
            <w:tcW w:w="1080" w:type="dxa"/>
            <w:noWrap/>
            <w:hideMark/>
          </w:tcPr>
          <w:p w14:paraId="44EC4F1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2.06</w:t>
            </w:r>
          </w:p>
        </w:tc>
        <w:tc>
          <w:tcPr>
            <w:tcW w:w="1020" w:type="dxa"/>
            <w:noWrap/>
            <w:hideMark/>
          </w:tcPr>
          <w:p w14:paraId="38A334FE"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2.26</w:t>
            </w:r>
          </w:p>
        </w:tc>
        <w:tc>
          <w:tcPr>
            <w:tcW w:w="1104" w:type="dxa"/>
            <w:noWrap/>
            <w:hideMark/>
          </w:tcPr>
          <w:p w14:paraId="6834D5FA"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1.67</w:t>
            </w:r>
          </w:p>
        </w:tc>
        <w:tc>
          <w:tcPr>
            <w:tcW w:w="1162" w:type="dxa"/>
            <w:noWrap/>
            <w:hideMark/>
          </w:tcPr>
          <w:p w14:paraId="4E01D2A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1.68</w:t>
            </w:r>
          </w:p>
        </w:tc>
      </w:tr>
      <w:tr w:rsidR="00973A32" w:rsidRPr="00973A32" w14:paraId="0570EEA1" w14:textId="77777777" w:rsidTr="00973A32">
        <w:trPr>
          <w:trHeight w:val="300"/>
        </w:trPr>
        <w:tc>
          <w:tcPr>
            <w:tcW w:w="3774" w:type="dxa"/>
            <w:noWrap/>
            <w:hideMark/>
          </w:tcPr>
          <w:p w14:paraId="386FCF75"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Forestry</w:t>
            </w:r>
          </w:p>
        </w:tc>
        <w:tc>
          <w:tcPr>
            <w:tcW w:w="960" w:type="dxa"/>
            <w:noWrap/>
            <w:hideMark/>
          </w:tcPr>
          <w:p w14:paraId="3476951F"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5.07</w:t>
            </w:r>
          </w:p>
        </w:tc>
        <w:tc>
          <w:tcPr>
            <w:tcW w:w="1080" w:type="dxa"/>
            <w:noWrap/>
            <w:hideMark/>
          </w:tcPr>
          <w:p w14:paraId="4443830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1.63</w:t>
            </w:r>
          </w:p>
        </w:tc>
        <w:tc>
          <w:tcPr>
            <w:tcW w:w="1020" w:type="dxa"/>
            <w:noWrap/>
            <w:hideMark/>
          </w:tcPr>
          <w:p w14:paraId="6D06894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2.91</w:t>
            </w:r>
          </w:p>
        </w:tc>
        <w:tc>
          <w:tcPr>
            <w:tcW w:w="1104" w:type="dxa"/>
            <w:noWrap/>
            <w:hideMark/>
          </w:tcPr>
          <w:p w14:paraId="2ECDF5B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1.67</w:t>
            </w:r>
          </w:p>
        </w:tc>
        <w:tc>
          <w:tcPr>
            <w:tcW w:w="1162" w:type="dxa"/>
            <w:noWrap/>
            <w:hideMark/>
          </w:tcPr>
          <w:p w14:paraId="2E581D83"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1.12</w:t>
            </w:r>
          </w:p>
        </w:tc>
      </w:tr>
      <w:tr w:rsidR="00973A32" w:rsidRPr="00973A32" w14:paraId="2EC1EBCF" w14:textId="77777777" w:rsidTr="00973A32">
        <w:trPr>
          <w:trHeight w:val="300"/>
        </w:trPr>
        <w:tc>
          <w:tcPr>
            <w:tcW w:w="3774" w:type="dxa"/>
            <w:noWrap/>
            <w:hideMark/>
          </w:tcPr>
          <w:p w14:paraId="587F4744"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Alcoholic Beverage Control</w:t>
            </w:r>
          </w:p>
        </w:tc>
        <w:tc>
          <w:tcPr>
            <w:tcW w:w="960" w:type="dxa"/>
            <w:noWrap/>
            <w:hideMark/>
          </w:tcPr>
          <w:p w14:paraId="25DDDF0F"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2.6</w:t>
            </w:r>
          </w:p>
        </w:tc>
        <w:tc>
          <w:tcPr>
            <w:tcW w:w="1080" w:type="dxa"/>
            <w:noWrap/>
            <w:hideMark/>
          </w:tcPr>
          <w:p w14:paraId="4BC316BE"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3.03</w:t>
            </w:r>
          </w:p>
        </w:tc>
        <w:tc>
          <w:tcPr>
            <w:tcW w:w="1020" w:type="dxa"/>
            <w:noWrap/>
            <w:hideMark/>
          </w:tcPr>
          <w:p w14:paraId="164C5E2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3.23</w:t>
            </w:r>
          </w:p>
        </w:tc>
        <w:tc>
          <w:tcPr>
            <w:tcW w:w="1104" w:type="dxa"/>
            <w:noWrap/>
            <w:hideMark/>
          </w:tcPr>
          <w:p w14:paraId="0AC3C91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1.22</w:t>
            </w:r>
          </w:p>
        </w:tc>
        <w:tc>
          <w:tcPr>
            <w:tcW w:w="1162" w:type="dxa"/>
            <w:noWrap/>
            <w:hideMark/>
          </w:tcPr>
          <w:p w14:paraId="14056A0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2.29</w:t>
            </w:r>
          </w:p>
        </w:tc>
      </w:tr>
      <w:tr w:rsidR="00973A32" w:rsidRPr="00973A32" w14:paraId="0B6AC692" w14:textId="77777777" w:rsidTr="00973A32">
        <w:trPr>
          <w:trHeight w:val="300"/>
        </w:trPr>
        <w:tc>
          <w:tcPr>
            <w:tcW w:w="3774" w:type="dxa"/>
            <w:noWrap/>
            <w:hideMark/>
          </w:tcPr>
          <w:p w14:paraId="6080266F"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Motor Vehicle Dealer Board</w:t>
            </w:r>
          </w:p>
        </w:tc>
        <w:tc>
          <w:tcPr>
            <w:tcW w:w="960" w:type="dxa"/>
            <w:noWrap/>
            <w:hideMark/>
          </w:tcPr>
          <w:p w14:paraId="2F4F600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2.28</w:t>
            </w:r>
          </w:p>
        </w:tc>
        <w:tc>
          <w:tcPr>
            <w:tcW w:w="1080" w:type="dxa"/>
            <w:noWrap/>
            <w:hideMark/>
          </w:tcPr>
          <w:p w14:paraId="1324592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3.95</w:t>
            </w:r>
          </w:p>
        </w:tc>
        <w:tc>
          <w:tcPr>
            <w:tcW w:w="1020" w:type="dxa"/>
            <w:noWrap/>
            <w:hideMark/>
          </w:tcPr>
          <w:p w14:paraId="747D91EC"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3.94</w:t>
            </w:r>
          </w:p>
        </w:tc>
        <w:tc>
          <w:tcPr>
            <w:tcW w:w="1104" w:type="dxa"/>
            <w:noWrap/>
            <w:hideMark/>
          </w:tcPr>
          <w:p w14:paraId="1053F9A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1.83</w:t>
            </w:r>
          </w:p>
        </w:tc>
        <w:tc>
          <w:tcPr>
            <w:tcW w:w="1162" w:type="dxa"/>
            <w:noWrap/>
            <w:hideMark/>
          </w:tcPr>
          <w:p w14:paraId="009C68B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1.96</w:t>
            </w:r>
          </w:p>
        </w:tc>
      </w:tr>
      <w:tr w:rsidR="00973A32" w:rsidRPr="00973A32" w14:paraId="6F14FD20" w14:textId="77777777" w:rsidTr="00973A32">
        <w:trPr>
          <w:trHeight w:val="300"/>
        </w:trPr>
        <w:tc>
          <w:tcPr>
            <w:tcW w:w="3774" w:type="dxa"/>
            <w:noWrap/>
            <w:hideMark/>
          </w:tcPr>
          <w:p w14:paraId="1A509374"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Virginia Department of Transportation</w:t>
            </w:r>
          </w:p>
        </w:tc>
        <w:tc>
          <w:tcPr>
            <w:tcW w:w="960" w:type="dxa"/>
            <w:noWrap/>
            <w:hideMark/>
          </w:tcPr>
          <w:p w14:paraId="203581E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2.4</w:t>
            </w:r>
          </w:p>
        </w:tc>
        <w:tc>
          <w:tcPr>
            <w:tcW w:w="1080" w:type="dxa"/>
            <w:noWrap/>
            <w:hideMark/>
          </w:tcPr>
          <w:p w14:paraId="3FC531F4"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3.78</w:t>
            </w:r>
          </w:p>
        </w:tc>
        <w:tc>
          <w:tcPr>
            <w:tcW w:w="1020" w:type="dxa"/>
            <w:noWrap/>
            <w:hideMark/>
          </w:tcPr>
          <w:p w14:paraId="0B1A343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4.01</w:t>
            </w:r>
          </w:p>
        </w:tc>
        <w:tc>
          <w:tcPr>
            <w:tcW w:w="1104" w:type="dxa"/>
            <w:noWrap/>
            <w:hideMark/>
          </w:tcPr>
          <w:p w14:paraId="0752310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3.33</w:t>
            </w:r>
          </w:p>
        </w:tc>
        <w:tc>
          <w:tcPr>
            <w:tcW w:w="1162" w:type="dxa"/>
            <w:noWrap/>
            <w:hideMark/>
          </w:tcPr>
          <w:p w14:paraId="772F5D23"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2.52</w:t>
            </w:r>
          </w:p>
        </w:tc>
      </w:tr>
      <w:tr w:rsidR="00973A32" w:rsidRPr="00973A32" w14:paraId="174516D3" w14:textId="77777777" w:rsidTr="00973A32">
        <w:trPr>
          <w:trHeight w:val="300"/>
        </w:trPr>
        <w:tc>
          <w:tcPr>
            <w:tcW w:w="3774" w:type="dxa"/>
            <w:noWrap/>
            <w:hideMark/>
          </w:tcPr>
          <w:p w14:paraId="133FA6BE"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Taxation</w:t>
            </w:r>
          </w:p>
        </w:tc>
        <w:tc>
          <w:tcPr>
            <w:tcW w:w="960" w:type="dxa"/>
            <w:noWrap/>
            <w:hideMark/>
          </w:tcPr>
          <w:p w14:paraId="0BEC9314"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3.91</w:t>
            </w:r>
          </w:p>
        </w:tc>
        <w:tc>
          <w:tcPr>
            <w:tcW w:w="1080" w:type="dxa"/>
            <w:noWrap/>
            <w:hideMark/>
          </w:tcPr>
          <w:p w14:paraId="0DD327C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3.55</w:t>
            </w:r>
          </w:p>
        </w:tc>
        <w:tc>
          <w:tcPr>
            <w:tcW w:w="1020" w:type="dxa"/>
            <w:noWrap/>
            <w:hideMark/>
          </w:tcPr>
          <w:p w14:paraId="78A8E78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3.66</w:t>
            </w:r>
          </w:p>
        </w:tc>
        <w:tc>
          <w:tcPr>
            <w:tcW w:w="1104" w:type="dxa"/>
            <w:noWrap/>
            <w:hideMark/>
          </w:tcPr>
          <w:p w14:paraId="02C6629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3.67</w:t>
            </w:r>
          </w:p>
        </w:tc>
        <w:tc>
          <w:tcPr>
            <w:tcW w:w="1162" w:type="dxa"/>
            <w:noWrap/>
            <w:hideMark/>
          </w:tcPr>
          <w:p w14:paraId="0FC1C23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3.66</w:t>
            </w:r>
          </w:p>
        </w:tc>
      </w:tr>
      <w:tr w:rsidR="00973A32" w:rsidRPr="00973A32" w14:paraId="03DD07A6" w14:textId="77777777" w:rsidTr="00973A32">
        <w:trPr>
          <w:trHeight w:val="300"/>
        </w:trPr>
        <w:tc>
          <w:tcPr>
            <w:tcW w:w="3774" w:type="dxa"/>
            <w:noWrap/>
            <w:hideMark/>
          </w:tcPr>
          <w:p w14:paraId="50894869"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Social Services</w:t>
            </w:r>
          </w:p>
        </w:tc>
        <w:tc>
          <w:tcPr>
            <w:tcW w:w="960" w:type="dxa"/>
            <w:noWrap/>
            <w:hideMark/>
          </w:tcPr>
          <w:p w14:paraId="3DABC0F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3.93</w:t>
            </w:r>
          </w:p>
        </w:tc>
        <w:tc>
          <w:tcPr>
            <w:tcW w:w="1080" w:type="dxa"/>
            <w:noWrap/>
            <w:hideMark/>
          </w:tcPr>
          <w:p w14:paraId="0117390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2.94</w:t>
            </w:r>
          </w:p>
        </w:tc>
        <w:tc>
          <w:tcPr>
            <w:tcW w:w="1020" w:type="dxa"/>
            <w:noWrap/>
            <w:hideMark/>
          </w:tcPr>
          <w:p w14:paraId="72F44F5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3.64</w:t>
            </w:r>
          </w:p>
        </w:tc>
        <w:tc>
          <w:tcPr>
            <w:tcW w:w="1104" w:type="dxa"/>
            <w:noWrap/>
            <w:hideMark/>
          </w:tcPr>
          <w:p w14:paraId="219559A3"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5.33</w:t>
            </w:r>
          </w:p>
        </w:tc>
        <w:tc>
          <w:tcPr>
            <w:tcW w:w="1162" w:type="dxa"/>
            <w:noWrap/>
            <w:hideMark/>
          </w:tcPr>
          <w:p w14:paraId="799C7FBA"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5.48</w:t>
            </w:r>
          </w:p>
        </w:tc>
      </w:tr>
      <w:tr w:rsidR="00973A32" w:rsidRPr="00973A32" w14:paraId="787A23BD" w14:textId="77777777" w:rsidTr="00973A32">
        <w:trPr>
          <w:trHeight w:val="300"/>
        </w:trPr>
        <w:tc>
          <w:tcPr>
            <w:tcW w:w="3774" w:type="dxa"/>
            <w:noWrap/>
            <w:hideMark/>
          </w:tcPr>
          <w:p w14:paraId="517B0F32"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 xml:space="preserve">Richard Bland College </w:t>
            </w:r>
          </w:p>
        </w:tc>
        <w:tc>
          <w:tcPr>
            <w:tcW w:w="960" w:type="dxa"/>
            <w:noWrap/>
            <w:hideMark/>
          </w:tcPr>
          <w:p w14:paraId="7902CB3A"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4.09</w:t>
            </w:r>
          </w:p>
        </w:tc>
        <w:tc>
          <w:tcPr>
            <w:tcW w:w="1080" w:type="dxa"/>
            <w:noWrap/>
            <w:hideMark/>
          </w:tcPr>
          <w:p w14:paraId="7B3B56A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4.22</w:t>
            </w:r>
          </w:p>
        </w:tc>
        <w:tc>
          <w:tcPr>
            <w:tcW w:w="1020" w:type="dxa"/>
            <w:noWrap/>
            <w:hideMark/>
          </w:tcPr>
          <w:p w14:paraId="2E77EB6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4.44</w:t>
            </w:r>
          </w:p>
        </w:tc>
        <w:tc>
          <w:tcPr>
            <w:tcW w:w="1104" w:type="dxa"/>
            <w:noWrap/>
            <w:hideMark/>
          </w:tcPr>
          <w:p w14:paraId="498ECB2C"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4.22</w:t>
            </w:r>
          </w:p>
        </w:tc>
        <w:tc>
          <w:tcPr>
            <w:tcW w:w="1162" w:type="dxa"/>
            <w:noWrap/>
            <w:hideMark/>
          </w:tcPr>
          <w:p w14:paraId="06154163"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4.32</w:t>
            </w:r>
          </w:p>
        </w:tc>
      </w:tr>
      <w:tr w:rsidR="00973A32" w:rsidRPr="00973A32" w14:paraId="2D0621AC" w14:textId="77777777" w:rsidTr="00973A32">
        <w:trPr>
          <w:trHeight w:val="300"/>
        </w:trPr>
        <w:tc>
          <w:tcPr>
            <w:tcW w:w="3774" w:type="dxa"/>
            <w:noWrap/>
            <w:hideMark/>
          </w:tcPr>
          <w:p w14:paraId="00BA1362"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Corrections</w:t>
            </w:r>
          </w:p>
        </w:tc>
        <w:tc>
          <w:tcPr>
            <w:tcW w:w="960" w:type="dxa"/>
            <w:noWrap/>
            <w:hideMark/>
          </w:tcPr>
          <w:p w14:paraId="7D86448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7</w:t>
            </w:r>
          </w:p>
        </w:tc>
        <w:tc>
          <w:tcPr>
            <w:tcW w:w="1080" w:type="dxa"/>
            <w:noWrap/>
            <w:hideMark/>
          </w:tcPr>
          <w:p w14:paraId="22FFFC83"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3.52</w:t>
            </w:r>
          </w:p>
        </w:tc>
        <w:tc>
          <w:tcPr>
            <w:tcW w:w="1020" w:type="dxa"/>
            <w:noWrap/>
            <w:hideMark/>
          </w:tcPr>
          <w:p w14:paraId="5186EA3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4.2</w:t>
            </w:r>
          </w:p>
        </w:tc>
        <w:tc>
          <w:tcPr>
            <w:tcW w:w="1104" w:type="dxa"/>
            <w:noWrap/>
            <w:hideMark/>
          </w:tcPr>
          <w:p w14:paraId="3FD3CB1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w:t>
            </w:r>
          </w:p>
        </w:tc>
        <w:tc>
          <w:tcPr>
            <w:tcW w:w="1162" w:type="dxa"/>
            <w:noWrap/>
            <w:hideMark/>
          </w:tcPr>
          <w:p w14:paraId="3B2246E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w:t>
            </w:r>
          </w:p>
        </w:tc>
      </w:tr>
      <w:tr w:rsidR="00973A32" w:rsidRPr="00973A32" w14:paraId="4C29288F" w14:textId="77777777" w:rsidTr="00973A32">
        <w:trPr>
          <w:trHeight w:val="300"/>
        </w:trPr>
        <w:tc>
          <w:tcPr>
            <w:tcW w:w="3774" w:type="dxa"/>
            <w:noWrap/>
            <w:hideMark/>
          </w:tcPr>
          <w:p w14:paraId="5F468798"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Center for Innovative Technologies</w:t>
            </w:r>
          </w:p>
        </w:tc>
        <w:tc>
          <w:tcPr>
            <w:tcW w:w="960" w:type="dxa"/>
            <w:noWrap/>
            <w:hideMark/>
          </w:tcPr>
          <w:p w14:paraId="2FCCB054"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4.13</w:t>
            </w:r>
          </w:p>
        </w:tc>
        <w:tc>
          <w:tcPr>
            <w:tcW w:w="1080" w:type="dxa"/>
            <w:noWrap/>
            <w:hideMark/>
          </w:tcPr>
          <w:p w14:paraId="5A9565C0"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4.6</w:t>
            </w:r>
          </w:p>
        </w:tc>
        <w:tc>
          <w:tcPr>
            <w:tcW w:w="1020" w:type="dxa"/>
            <w:noWrap/>
            <w:hideMark/>
          </w:tcPr>
          <w:p w14:paraId="306D4B6C"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5.45</w:t>
            </w:r>
          </w:p>
        </w:tc>
        <w:tc>
          <w:tcPr>
            <w:tcW w:w="1104" w:type="dxa"/>
            <w:noWrap/>
            <w:hideMark/>
          </w:tcPr>
          <w:p w14:paraId="6BF32B73"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2.67</w:t>
            </w:r>
          </w:p>
        </w:tc>
        <w:tc>
          <w:tcPr>
            <w:tcW w:w="1162" w:type="dxa"/>
            <w:noWrap/>
            <w:hideMark/>
          </w:tcPr>
          <w:p w14:paraId="6AD6C3F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2.39</w:t>
            </w:r>
          </w:p>
        </w:tc>
      </w:tr>
      <w:tr w:rsidR="00973A32" w:rsidRPr="00973A32" w14:paraId="31DE7081" w14:textId="77777777" w:rsidTr="00973A32">
        <w:trPr>
          <w:trHeight w:val="300"/>
        </w:trPr>
        <w:tc>
          <w:tcPr>
            <w:tcW w:w="3774" w:type="dxa"/>
            <w:noWrap/>
            <w:hideMark/>
          </w:tcPr>
          <w:p w14:paraId="6205CE96"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Juvenile Justice</w:t>
            </w:r>
          </w:p>
        </w:tc>
        <w:tc>
          <w:tcPr>
            <w:tcW w:w="960" w:type="dxa"/>
            <w:noWrap/>
            <w:hideMark/>
          </w:tcPr>
          <w:p w14:paraId="13D34C20"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4.6</w:t>
            </w:r>
          </w:p>
        </w:tc>
        <w:tc>
          <w:tcPr>
            <w:tcW w:w="1080" w:type="dxa"/>
            <w:noWrap/>
            <w:hideMark/>
          </w:tcPr>
          <w:p w14:paraId="2C1C363A"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5.15</w:t>
            </w:r>
          </w:p>
        </w:tc>
        <w:tc>
          <w:tcPr>
            <w:tcW w:w="1020" w:type="dxa"/>
            <w:noWrap/>
            <w:hideMark/>
          </w:tcPr>
          <w:p w14:paraId="5159174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5.01</w:t>
            </w:r>
          </w:p>
        </w:tc>
        <w:tc>
          <w:tcPr>
            <w:tcW w:w="1104" w:type="dxa"/>
            <w:noWrap/>
            <w:hideMark/>
          </w:tcPr>
          <w:p w14:paraId="61DFC2B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3.56</w:t>
            </w:r>
          </w:p>
        </w:tc>
        <w:tc>
          <w:tcPr>
            <w:tcW w:w="1162" w:type="dxa"/>
            <w:noWrap/>
            <w:hideMark/>
          </w:tcPr>
          <w:p w14:paraId="603D7C8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3.32</w:t>
            </w:r>
          </w:p>
        </w:tc>
      </w:tr>
      <w:tr w:rsidR="00973A32" w:rsidRPr="00973A32" w14:paraId="2785F2DA" w14:textId="77777777" w:rsidTr="00973A32">
        <w:trPr>
          <w:trHeight w:val="300"/>
        </w:trPr>
        <w:tc>
          <w:tcPr>
            <w:tcW w:w="3774" w:type="dxa"/>
            <w:noWrap/>
            <w:hideMark/>
          </w:tcPr>
          <w:p w14:paraId="3D8EC035"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Professional and Occupational Regulation</w:t>
            </w:r>
          </w:p>
        </w:tc>
        <w:tc>
          <w:tcPr>
            <w:tcW w:w="960" w:type="dxa"/>
            <w:noWrap/>
            <w:hideMark/>
          </w:tcPr>
          <w:p w14:paraId="287085B3"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3.5</w:t>
            </w:r>
          </w:p>
        </w:tc>
        <w:tc>
          <w:tcPr>
            <w:tcW w:w="1080" w:type="dxa"/>
            <w:noWrap/>
            <w:hideMark/>
          </w:tcPr>
          <w:p w14:paraId="7FC5F2B3"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4.96</w:t>
            </w:r>
          </w:p>
        </w:tc>
        <w:tc>
          <w:tcPr>
            <w:tcW w:w="1020" w:type="dxa"/>
            <w:noWrap/>
            <w:hideMark/>
          </w:tcPr>
          <w:p w14:paraId="67FCB29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4.16</w:t>
            </w:r>
          </w:p>
        </w:tc>
        <w:tc>
          <w:tcPr>
            <w:tcW w:w="1104" w:type="dxa"/>
            <w:noWrap/>
            <w:hideMark/>
          </w:tcPr>
          <w:p w14:paraId="645C248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4.67</w:t>
            </w:r>
          </w:p>
        </w:tc>
        <w:tc>
          <w:tcPr>
            <w:tcW w:w="1162" w:type="dxa"/>
            <w:noWrap/>
            <w:hideMark/>
          </w:tcPr>
          <w:p w14:paraId="3DF2D29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4.98</w:t>
            </w:r>
          </w:p>
        </w:tc>
      </w:tr>
      <w:tr w:rsidR="00973A32" w:rsidRPr="00973A32" w14:paraId="585456A3" w14:textId="77777777" w:rsidTr="00973A32">
        <w:trPr>
          <w:trHeight w:val="300"/>
        </w:trPr>
        <w:tc>
          <w:tcPr>
            <w:tcW w:w="3774" w:type="dxa"/>
            <w:noWrap/>
            <w:hideMark/>
          </w:tcPr>
          <w:p w14:paraId="58C262AC"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Virginia State Police</w:t>
            </w:r>
          </w:p>
        </w:tc>
        <w:tc>
          <w:tcPr>
            <w:tcW w:w="960" w:type="dxa"/>
            <w:noWrap/>
            <w:hideMark/>
          </w:tcPr>
          <w:p w14:paraId="3450334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3.53</w:t>
            </w:r>
          </w:p>
        </w:tc>
        <w:tc>
          <w:tcPr>
            <w:tcW w:w="1080" w:type="dxa"/>
            <w:noWrap/>
            <w:hideMark/>
          </w:tcPr>
          <w:p w14:paraId="03CC1FFC"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5.26</w:t>
            </w:r>
          </w:p>
        </w:tc>
        <w:tc>
          <w:tcPr>
            <w:tcW w:w="1020" w:type="dxa"/>
            <w:noWrap/>
            <w:hideMark/>
          </w:tcPr>
          <w:p w14:paraId="48F3BD5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4.37</w:t>
            </w:r>
          </w:p>
        </w:tc>
        <w:tc>
          <w:tcPr>
            <w:tcW w:w="1104" w:type="dxa"/>
            <w:noWrap/>
            <w:hideMark/>
          </w:tcPr>
          <w:p w14:paraId="49B2C42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w:t>
            </w:r>
          </w:p>
        </w:tc>
        <w:tc>
          <w:tcPr>
            <w:tcW w:w="1162" w:type="dxa"/>
            <w:noWrap/>
            <w:hideMark/>
          </w:tcPr>
          <w:p w14:paraId="6A1C3CC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4.08</w:t>
            </w:r>
          </w:p>
        </w:tc>
      </w:tr>
      <w:tr w:rsidR="00973A32" w:rsidRPr="00973A32" w14:paraId="1C947571" w14:textId="77777777" w:rsidTr="00973A32">
        <w:trPr>
          <w:trHeight w:val="300"/>
        </w:trPr>
        <w:tc>
          <w:tcPr>
            <w:tcW w:w="3774" w:type="dxa"/>
            <w:noWrap/>
            <w:hideMark/>
          </w:tcPr>
          <w:p w14:paraId="368C9BD5"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Virginia Department of Health</w:t>
            </w:r>
          </w:p>
        </w:tc>
        <w:tc>
          <w:tcPr>
            <w:tcW w:w="960" w:type="dxa"/>
            <w:noWrap/>
            <w:hideMark/>
          </w:tcPr>
          <w:p w14:paraId="4B43147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5.43</w:t>
            </w:r>
          </w:p>
        </w:tc>
        <w:tc>
          <w:tcPr>
            <w:tcW w:w="1080" w:type="dxa"/>
            <w:noWrap/>
            <w:hideMark/>
          </w:tcPr>
          <w:p w14:paraId="677419A0"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5.58</w:t>
            </w:r>
          </w:p>
        </w:tc>
        <w:tc>
          <w:tcPr>
            <w:tcW w:w="1020" w:type="dxa"/>
            <w:noWrap/>
            <w:hideMark/>
          </w:tcPr>
          <w:p w14:paraId="6C080283"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5.3</w:t>
            </w:r>
          </w:p>
        </w:tc>
        <w:tc>
          <w:tcPr>
            <w:tcW w:w="1104" w:type="dxa"/>
            <w:noWrap/>
            <w:hideMark/>
          </w:tcPr>
          <w:p w14:paraId="0A55514E"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1</w:t>
            </w:r>
          </w:p>
        </w:tc>
        <w:tc>
          <w:tcPr>
            <w:tcW w:w="1162" w:type="dxa"/>
            <w:noWrap/>
            <w:hideMark/>
          </w:tcPr>
          <w:p w14:paraId="061CDE9A"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2.76</w:t>
            </w:r>
          </w:p>
        </w:tc>
      </w:tr>
      <w:tr w:rsidR="00973A32" w:rsidRPr="00973A32" w14:paraId="6171A1E8" w14:textId="77777777" w:rsidTr="00973A32">
        <w:trPr>
          <w:trHeight w:val="300"/>
        </w:trPr>
        <w:tc>
          <w:tcPr>
            <w:tcW w:w="3774" w:type="dxa"/>
            <w:noWrap/>
            <w:hideMark/>
          </w:tcPr>
          <w:p w14:paraId="066A2C12"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Housing and Community Development</w:t>
            </w:r>
          </w:p>
        </w:tc>
        <w:tc>
          <w:tcPr>
            <w:tcW w:w="960" w:type="dxa"/>
            <w:noWrap/>
            <w:hideMark/>
          </w:tcPr>
          <w:p w14:paraId="322974F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5.83</w:t>
            </w:r>
          </w:p>
        </w:tc>
        <w:tc>
          <w:tcPr>
            <w:tcW w:w="1080" w:type="dxa"/>
            <w:noWrap/>
            <w:hideMark/>
          </w:tcPr>
          <w:p w14:paraId="7B79446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3.26</w:t>
            </w:r>
          </w:p>
        </w:tc>
        <w:tc>
          <w:tcPr>
            <w:tcW w:w="1020" w:type="dxa"/>
            <w:noWrap/>
            <w:hideMark/>
          </w:tcPr>
          <w:p w14:paraId="76421C5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5.7</w:t>
            </w:r>
          </w:p>
        </w:tc>
        <w:tc>
          <w:tcPr>
            <w:tcW w:w="1104" w:type="dxa"/>
            <w:noWrap/>
            <w:hideMark/>
          </w:tcPr>
          <w:p w14:paraId="614688FA"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w:t>
            </w:r>
          </w:p>
        </w:tc>
        <w:tc>
          <w:tcPr>
            <w:tcW w:w="1162" w:type="dxa"/>
            <w:noWrap/>
            <w:hideMark/>
          </w:tcPr>
          <w:p w14:paraId="6A01C864"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4.08</w:t>
            </w:r>
          </w:p>
        </w:tc>
      </w:tr>
      <w:tr w:rsidR="00973A32" w:rsidRPr="00973A32" w14:paraId="32E40041" w14:textId="77777777" w:rsidTr="00973A32">
        <w:trPr>
          <w:trHeight w:val="300"/>
        </w:trPr>
        <w:tc>
          <w:tcPr>
            <w:tcW w:w="3774" w:type="dxa"/>
            <w:noWrap/>
            <w:hideMark/>
          </w:tcPr>
          <w:p w14:paraId="5F5D2B9A"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Virginia Museum of Fine Arts</w:t>
            </w:r>
          </w:p>
        </w:tc>
        <w:tc>
          <w:tcPr>
            <w:tcW w:w="960" w:type="dxa"/>
            <w:noWrap/>
            <w:hideMark/>
          </w:tcPr>
          <w:p w14:paraId="145EA97C"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w:t>
            </w:r>
          </w:p>
        </w:tc>
        <w:tc>
          <w:tcPr>
            <w:tcW w:w="1080" w:type="dxa"/>
            <w:noWrap/>
            <w:hideMark/>
          </w:tcPr>
          <w:p w14:paraId="0E98BB2A"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2.65</w:t>
            </w:r>
          </w:p>
        </w:tc>
        <w:tc>
          <w:tcPr>
            <w:tcW w:w="1020" w:type="dxa"/>
            <w:noWrap/>
            <w:hideMark/>
          </w:tcPr>
          <w:p w14:paraId="1450E7D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4.86</w:t>
            </w:r>
          </w:p>
        </w:tc>
        <w:tc>
          <w:tcPr>
            <w:tcW w:w="1104" w:type="dxa"/>
            <w:noWrap/>
            <w:hideMark/>
          </w:tcPr>
          <w:p w14:paraId="7EDA012F"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4.67</w:t>
            </w:r>
          </w:p>
        </w:tc>
        <w:tc>
          <w:tcPr>
            <w:tcW w:w="1162" w:type="dxa"/>
            <w:noWrap/>
            <w:hideMark/>
          </w:tcPr>
          <w:p w14:paraId="0C6C5420"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w:t>
            </w:r>
          </w:p>
        </w:tc>
      </w:tr>
      <w:tr w:rsidR="00973A32" w:rsidRPr="00973A32" w14:paraId="7CE6A0D4" w14:textId="77777777" w:rsidTr="00973A32">
        <w:trPr>
          <w:trHeight w:val="300"/>
        </w:trPr>
        <w:tc>
          <w:tcPr>
            <w:tcW w:w="3774" w:type="dxa"/>
            <w:noWrap/>
            <w:hideMark/>
          </w:tcPr>
          <w:p w14:paraId="6FEA9307"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Behavioral Health and Development Services</w:t>
            </w:r>
          </w:p>
        </w:tc>
        <w:tc>
          <w:tcPr>
            <w:tcW w:w="960" w:type="dxa"/>
            <w:noWrap/>
            <w:hideMark/>
          </w:tcPr>
          <w:p w14:paraId="1517767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5.12</w:t>
            </w:r>
          </w:p>
        </w:tc>
        <w:tc>
          <w:tcPr>
            <w:tcW w:w="1080" w:type="dxa"/>
            <w:noWrap/>
            <w:hideMark/>
          </w:tcPr>
          <w:p w14:paraId="4027B37A"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5.14</w:t>
            </w:r>
          </w:p>
        </w:tc>
        <w:tc>
          <w:tcPr>
            <w:tcW w:w="1020" w:type="dxa"/>
            <w:noWrap/>
            <w:hideMark/>
          </w:tcPr>
          <w:p w14:paraId="4E1D34C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5.53</w:t>
            </w:r>
          </w:p>
        </w:tc>
        <w:tc>
          <w:tcPr>
            <w:tcW w:w="1104" w:type="dxa"/>
            <w:noWrap/>
            <w:hideMark/>
          </w:tcPr>
          <w:p w14:paraId="517E678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2.33</w:t>
            </w:r>
          </w:p>
        </w:tc>
        <w:tc>
          <w:tcPr>
            <w:tcW w:w="1162" w:type="dxa"/>
            <w:noWrap/>
            <w:hideMark/>
          </w:tcPr>
          <w:p w14:paraId="7956401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3.8</w:t>
            </w:r>
          </w:p>
        </w:tc>
      </w:tr>
      <w:tr w:rsidR="00973A32" w:rsidRPr="00973A32" w14:paraId="55BCE5D6" w14:textId="77777777" w:rsidTr="00973A32">
        <w:trPr>
          <w:trHeight w:val="300"/>
        </w:trPr>
        <w:tc>
          <w:tcPr>
            <w:tcW w:w="3774" w:type="dxa"/>
            <w:noWrap/>
            <w:hideMark/>
          </w:tcPr>
          <w:p w14:paraId="36B4CE71"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Virginia Department of Emergency Management</w:t>
            </w:r>
          </w:p>
        </w:tc>
        <w:tc>
          <w:tcPr>
            <w:tcW w:w="960" w:type="dxa"/>
            <w:noWrap/>
            <w:hideMark/>
          </w:tcPr>
          <w:p w14:paraId="51608E6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w:t>
            </w:r>
          </w:p>
        </w:tc>
        <w:tc>
          <w:tcPr>
            <w:tcW w:w="1080" w:type="dxa"/>
            <w:noWrap/>
            <w:hideMark/>
          </w:tcPr>
          <w:p w14:paraId="0043FEF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5.2</w:t>
            </w:r>
          </w:p>
        </w:tc>
        <w:tc>
          <w:tcPr>
            <w:tcW w:w="1020" w:type="dxa"/>
            <w:noWrap/>
            <w:hideMark/>
          </w:tcPr>
          <w:p w14:paraId="4B98A1F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5.06</w:t>
            </w:r>
          </w:p>
        </w:tc>
        <w:tc>
          <w:tcPr>
            <w:tcW w:w="1104" w:type="dxa"/>
            <w:noWrap/>
            <w:hideMark/>
          </w:tcPr>
          <w:p w14:paraId="3989897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w:t>
            </w:r>
          </w:p>
        </w:tc>
        <w:tc>
          <w:tcPr>
            <w:tcW w:w="1162" w:type="dxa"/>
            <w:noWrap/>
            <w:hideMark/>
          </w:tcPr>
          <w:p w14:paraId="6C6ABC0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w:t>
            </w:r>
          </w:p>
        </w:tc>
      </w:tr>
      <w:tr w:rsidR="00973A32" w:rsidRPr="00973A32" w14:paraId="14935448" w14:textId="77777777" w:rsidTr="00973A32">
        <w:trPr>
          <w:trHeight w:val="300"/>
        </w:trPr>
        <w:tc>
          <w:tcPr>
            <w:tcW w:w="3774" w:type="dxa"/>
            <w:noWrap/>
            <w:hideMark/>
          </w:tcPr>
          <w:p w14:paraId="4ACA158A"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Jamestown-Yorktown Foundation</w:t>
            </w:r>
          </w:p>
        </w:tc>
        <w:tc>
          <w:tcPr>
            <w:tcW w:w="960" w:type="dxa"/>
            <w:noWrap/>
            <w:hideMark/>
          </w:tcPr>
          <w:p w14:paraId="45A91DF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5.85</w:t>
            </w:r>
          </w:p>
        </w:tc>
        <w:tc>
          <w:tcPr>
            <w:tcW w:w="1080" w:type="dxa"/>
            <w:noWrap/>
            <w:hideMark/>
          </w:tcPr>
          <w:p w14:paraId="03EF1D2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5.01</w:t>
            </w:r>
          </w:p>
        </w:tc>
        <w:tc>
          <w:tcPr>
            <w:tcW w:w="1020" w:type="dxa"/>
            <w:noWrap/>
            <w:hideMark/>
          </w:tcPr>
          <w:p w14:paraId="073DBF74"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5.1</w:t>
            </w:r>
          </w:p>
        </w:tc>
        <w:tc>
          <w:tcPr>
            <w:tcW w:w="1104" w:type="dxa"/>
            <w:noWrap/>
            <w:hideMark/>
          </w:tcPr>
          <w:p w14:paraId="66E682A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5.33</w:t>
            </w:r>
          </w:p>
        </w:tc>
        <w:tc>
          <w:tcPr>
            <w:tcW w:w="1162" w:type="dxa"/>
            <w:noWrap/>
            <w:hideMark/>
          </w:tcPr>
          <w:p w14:paraId="342F45BE"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4.12</w:t>
            </w:r>
          </w:p>
        </w:tc>
      </w:tr>
      <w:tr w:rsidR="00973A32" w:rsidRPr="00973A32" w14:paraId="633FC8C4" w14:textId="77777777" w:rsidTr="00973A32">
        <w:trPr>
          <w:trHeight w:val="300"/>
        </w:trPr>
        <w:tc>
          <w:tcPr>
            <w:tcW w:w="3774" w:type="dxa"/>
            <w:noWrap/>
            <w:hideMark/>
          </w:tcPr>
          <w:p w14:paraId="731501DB"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Office of Attorney General</w:t>
            </w:r>
          </w:p>
        </w:tc>
        <w:tc>
          <w:tcPr>
            <w:tcW w:w="960" w:type="dxa"/>
            <w:noWrap/>
            <w:hideMark/>
          </w:tcPr>
          <w:p w14:paraId="07F51524"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5.15</w:t>
            </w:r>
          </w:p>
        </w:tc>
        <w:tc>
          <w:tcPr>
            <w:tcW w:w="1080" w:type="dxa"/>
            <w:noWrap/>
            <w:hideMark/>
          </w:tcPr>
          <w:p w14:paraId="6038ACD0"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5.24</w:t>
            </w:r>
          </w:p>
        </w:tc>
        <w:tc>
          <w:tcPr>
            <w:tcW w:w="1020" w:type="dxa"/>
            <w:noWrap/>
            <w:hideMark/>
          </w:tcPr>
          <w:p w14:paraId="794AA43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5.2</w:t>
            </w:r>
          </w:p>
        </w:tc>
        <w:tc>
          <w:tcPr>
            <w:tcW w:w="1104" w:type="dxa"/>
            <w:noWrap/>
            <w:hideMark/>
          </w:tcPr>
          <w:p w14:paraId="3F8BC1F4"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5.22</w:t>
            </w:r>
          </w:p>
        </w:tc>
        <w:tc>
          <w:tcPr>
            <w:tcW w:w="1162" w:type="dxa"/>
            <w:noWrap/>
            <w:hideMark/>
          </w:tcPr>
          <w:p w14:paraId="6F9C88FA"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5.47</w:t>
            </w:r>
          </w:p>
        </w:tc>
      </w:tr>
      <w:tr w:rsidR="00973A32" w:rsidRPr="00973A32" w14:paraId="09636ED5" w14:textId="77777777" w:rsidTr="00973A32">
        <w:trPr>
          <w:trHeight w:val="300"/>
        </w:trPr>
        <w:tc>
          <w:tcPr>
            <w:tcW w:w="3774" w:type="dxa"/>
            <w:noWrap/>
            <w:hideMark/>
          </w:tcPr>
          <w:p w14:paraId="21060143"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Office for Children's Services</w:t>
            </w:r>
          </w:p>
        </w:tc>
        <w:tc>
          <w:tcPr>
            <w:tcW w:w="960" w:type="dxa"/>
            <w:noWrap/>
            <w:hideMark/>
          </w:tcPr>
          <w:p w14:paraId="7E6B3D0E"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5.22</w:t>
            </w:r>
          </w:p>
        </w:tc>
        <w:tc>
          <w:tcPr>
            <w:tcW w:w="1080" w:type="dxa"/>
            <w:noWrap/>
            <w:hideMark/>
          </w:tcPr>
          <w:p w14:paraId="73123A7E"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4.12</w:t>
            </w:r>
          </w:p>
        </w:tc>
        <w:tc>
          <w:tcPr>
            <w:tcW w:w="1020" w:type="dxa"/>
            <w:noWrap/>
            <w:hideMark/>
          </w:tcPr>
          <w:p w14:paraId="1D5AF01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6.44</w:t>
            </w:r>
          </w:p>
        </w:tc>
        <w:tc>
          <w:tcPr>
            <w:tcW w:w="1104" w:type="dxa"/>
            <w:noWrap/>
            <w:hideMark/>
          </w:tcPr>
          <w:p w14:paraId="44B9164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w:t>
            </w:r>
          </w:p>
        </w:tc>
        <w:tc>
          <w:tcPr>
            <w:tcW w:w="1162" w:type="dxa"/>
            <w:noWrap/>
            <w:hideMark/>
          </w:tcPr>
          <w:p w14:paraId="0B990BB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4.83</w:t>
            </w:r>
          </w:p>
        </w:tc>
      </w:tr>
      <w:tr w:rsidR="00973A32" w:rsidRPr="00973A32" w14:paraId="7C656287" w14:textId="77777777" w:rsidTr="00973A32">
        <w:trPr>
          <w:trHeight w:val="300"/>
        </w:trPr>
        <w:tc>
          <w:tcPr>
            <w:tcW w:w="3774" w:type="dxa"/>
            <w:noWrap/>
            <w:hideMark/>
          </w:tcPr>
          <w:p w14:paraId="469FA4D0"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Environmental Quality</w:t>
            </w:r>
          </w:p>
        </w:tc>
        <w:tc>
          <w:tcPr>
            <w:tcW w:w="960" w:type="dxa"/>
            <w:noWrap/>
            <w:hideMark/>
          </w:tcPr>
          <w:p w14:paraId="7582ABAE"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4.15</w:t>
            </w:r>
          </w:p>
        </w:tc>
        <w:tc>
          <w:tcPr>
            <w:tcW w:w="1080" w:type="dxa"/>
            <w:noWrap/>
            <w:hideMark/>
          </w:tcPr>
          <w:p w14:paraId="3101368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w:t>
            </w:r>
          </w:p>
        </w:tc>
        <w:tc>
          <w:tcPr>
            <w:tcW w:w="1020" w:type="dxa"/>
            <w:noWrap/>
            <w:hideMark/>
          </w:tcPr>
          <w:p w14:paraId="1695F71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5.49</w:t>
            </w:r>
          </w:p>
        </w:tc>
        <w:tc>
          <w:tcPr>
            <w:tcW w:w="1104" w:type="dxa"/>
            <w:noWrap/>
            <w:hideMark/>
          </w:tcPr>
          <w:p w14:paraId="1234241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w:t>
            </w:r>
          </w:p>
        </w:tc>
        <w:tc>
          <w:tcPr>
            <w:tcW w:w="1162" w:type="dxa"/>
            <w:noWrap/>
            <w:hideMark/>
          </w:tcPr>
          <w:p w14:paraId="755942D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5.96</w:t>
            </w:r>
          </w:p>
        </w:tc>
      </w:tr>
      <w:tr w:rsidR="00973A32" w:rsidRPr="00973A32" w14:paraId="1DF2D608" w14:textId="77777777" w:rsidTr="00973A32">
        <w:trPr>
          <w:trHeight w:val="300"/>
        </w:trPr>
        <w:tc>
          <w:tcPr>
            <w:tcW w:w="3774" w:type="dxa"/>
            <w:noWrap/>
            <w:hideMark/>
          </w:tcPr>
          <w:p w14:paraId="5881D8FE"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Marine Resources Commission</w:t>
            </w:r>
          </w:p>
        </w:tc>
        <w:tc>
          <w:tcPr>
            <w:tcW w:w="960" w:type="dxa"/>
            <w:noWrap/>
            <w:hideMark/>
          </w:tcPr>
          <w:p w14:paraId="086E5D2C"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5.8</w:t>
            </w:r>
          </w:p>
        </w:tc>
        <w:tc>
          <w:tcPr>
            <w:tcW w:w="1080" w:type="dxa"/>
            <w:noWrap/>
            <w:hideMark/>
          </w:tcPr>
          <w:p w14:paraId="0CF90CBF"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5.19</w:t>
            </w:r>
          </w:p>
        </w:tc>
        <w:tc>
          <w:tcPr>
            <w:tcW w:w="1020" w:type="dxa"/>
            <w:noWrap/>
            <w:hideMark/>
          </w:tcPr>
          <w:p w14:paraId="496AB1DC"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5.51</w:t>
            </w:r>
          </w:p>
        </w:tc>
        <w:tc>
          <w:tcPr>
            <w:tcW w:w="1104" w:type="dxa"/>
            <w:noWrap/>
            <w:hideMark/>
          </w:tcPr>
          <w:p w14:paraId="1D3620C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4.94</w:t>
            </w:r>
          </w:p>
        </w:tc>
        <w:tc>
          <w:tcPr>
            <w:tcW w:w="1162" w:type="dxa"/>
            <w:noWrap/>
            <w:hideMark/>
          </w:tcPr>
          <w:p w14:paraId="40948D0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5.17</w:t>
            </w:r>
          </w:p>
        </w:tc>
      </w:tr>
      <w:tr w:rsidR="00973A32" w:rsidRPr="00973A32" w14:paraId="2EEB0301" w14:textId="77777777" w:rsidTr="00973A32">
        <w:trPr>
          <w:trHeight w:val="300"/>
        </w:trPr>
        <w:tc>
          <w:tcPr>
            <w:tcW w:w="3774" w:type="dxa"/>
            <w:noWrap/>
            <w:hideMark/>
          </w:tcPr>
          <w:p w14:paraId="0809A2E3"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Virginia Employment Commission</w:t>
            </w:r>
          </w:p>
        </w:tc>
        <w:tc>
          <w:tcPr>
            <w:tcW w:w="960" w:type="dxa"/>
            <w:noWrap/>
            <w:hideMark/>
          </w:tcPr>
          <w:p w14:paraId="74BA97D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5.17</w:t>
            </w:r>
          </w:p>
        </w:tc>
        <w:tc>
          <w:tcPr>
            <w:tcW w:w="1080" w:type="dxa"/>
            <w:noWrap/>
            <w:hideMark/>
          </w:tcPr>
          <w:p w14:paraId="3560B20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w:t>
            </w:r>
          </w:p>
        </w:tc>
        <w:tc>
          <w:tcPr>
            <w:tcW w:w="1020" w:type="dxa"/>
            <w:noWrap/>
            <w:hideMark/>
          </w:tcPr>
          <w:p w14:paraId="5999BD8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5.78</w:t>
            </w:r>
          </w:p>
        </w:tc>
        <w:tc>
          <w:tcPr>
            <w:tcW w:w="1104" w:type="dxa"/>
            <w:noWrap/>
            <w:hideMark/>
          </w:tcPr>
          <w:p w14:paraId="7A08FD3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4.33</w:t>
            </w:r>
          </w:p>
        </w:tc>
        <w:tc>
          <w:tcPr>
            <w:tcW w:w="1162" w:type="dxa"/>
            <w:noWrap/>
            <w:hideMark/>
          </w:tcPr>
          <w:p w14:paraId="45E64B7E"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4.28</w:t>
            </w:r>
          </w:p>
        </w:tc>
      </w:tr>
      <w:tr w:rsidR="00973A32" w:rsidRPr="00973A32" w14:paraId="00E8D6AD" w14:textId="77777777" w:rsidTr="00973A32">
        <w:trPr>
          <w:trHeight w:val="300"/>
        </w:trPr>
        <w:tc>
          <w:tcPr>
            <w:tcW w:w="3774" w:type="dxa"/>
            <w:noWrap/>
            <w:hideMark/>
          </w:tcPr>
          <w:p w14:paraId="08DF1C3A"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Mines, Minerals and Energy</w:t>
            </w:r>
          </w:p>
        </w:tc>
        <w:tc>
          <w:tcPr>
            <w:tcW w:w="960" w:type="dxa"/>
            <w:noWrap/>
            <w:hideMark/>
          </w:tcPr>
          <w:p w14:paraId="724A8EE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4.87</w:t>
            </w:r>
          </w:p>
        </w:tc>
        <w:tc>
          <w:tcPr>
            <w:tcW w:w="1080" w:type="dxa"/>
            <w:noWrap/>
            <w:hideMark/>
          </w:tcPr>
          <w:p w14:paraId="3158DF6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5.18</w:t>
            </w:r>
          </w:p>
        </w:tc>
        <w:tc>
          <w:tcPr>
            <w:tcW w:w="1020" w:type="dxa"/>
            <w:noWrap/>
            <w:hideMark/>
          </w:tcPr>
          <w:p w14:paraId="397E4D34"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5.77</w:t>
            </w:r>
          </w:p>
        </w:tc>
        <w:tc>
          <w:tcPr>
            <w:tcW w:w="1104" w:type="dxa"/>
            <w:noWrap/>
            <w:hideMark/>
          </w:tcPr>
          <w:p w14:paraId="3D6489E0"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5.67</w:t>
            </w:r>
          </w:p>
        </w:tc>
        <w:tc>
          <w:tcPr>
            <w:tcW w:w="1162" w:type="dxa"/>
            <w:noWrap/>
            <w:hideMark/>
          </w:tcPr>
          <w:p w14:paraId="550A22E0"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5.12</w:t>
            </w:r>
          </w:p>
        </w:tc>
      </w:tr>
      <w:tr w:rsidR="00973A32" w:rsidRPr="00973A32" w14:paraId="7DB69606" w14:textId="77777777" w:rsidTr="00973A32">
        <w:trPr>
          <w:trHeight w:val="300"/>
        </w:trPr>
        <w:tc>
          <w:tcPr>
            <w:tcW w:w="3774" w:type="dxa"/>
            <w:noWrap/>
            <w:hideMark/>
          </w:tcPr>
          <w:p w14:paraId="7F806284"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Forensic Science</w:t>
            </w:r>
          </w:p>
        </w:tc>
        <w:tc>
          <w:tcPr>
            <w:tcW w:w="960" w:type="dxa"/>
            <w:noWrap/>
            <w:hideMark/>
          </w:tcPr>
          <w:p w14:paraId="7B506094"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5.08</w:t>
            </w:r>
          </w:p>
        </w:tc>
        <w:tc>
          <w:tcPr>
            <w:tcW w:w="1080" w:type="dxa"/>
            <w:noWrap/>
            <w:hideMark/>
          </w:tcPr>
          <w:p w14:paraId="5596187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5.91</w:t>
            </w:r>
          </w:p>
        </w:tc>
        <w:tc>
          <w:tcPr>
            <w:tcW w:w="1020" w:type="dxa"/>
            <w:noWrap/>
            <w:hideMark/>
          </w:tcPr>
          <w:p w14:paraId="7A3522B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5.47</w:t>
            </w:r>
          </w:p>
        </w:tc>
        <w:tc>
          <w:tcPr>
            <w:tcW w:w="1104" w:type="dxa"/>
            <w:noWrap/>
            <w:hideMark/>
          </w:tcPr>
          <w:p w14:paraId="6382652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4.33</w:t>
            </w:r>
          </w:p>
        </w:tc>
        <w:tc>
          <w:tcPr>
            <w:tcW w:w="1162" w:type="dxa"/>
            <w:noWrap/>
            <w:hideMark/>
          </w:tcPr>
          <w:p w14:paraId="1C6F87B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w:t>
            </w:r>
          </w:p>
        </w:tc>
      </w:tr>
      <w:tr w:rsidR="00973A32" w:rsidRPr="00973A32" w14:paraId="5F89D486" w14:textId="77777777" w:rsidTr="00973A32">
        <w:trPr>
          <w:trHeight w:val="300"/>
        </w:trPr>
        <w:tc>
          <w:tcPr>
            <w:tcW w:w="3774" w:type="dxa"/>
            <w:noWrap/>
            <w:hideMark/>
          </w:tcPr>
          <w:p w14:paraId="60A671DE"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Elections</w:t>
            </w:r>
          </w:p>
        </w:tc>
        <w:tc>
          <w:tcPr>
            <w:tcW w:w="960" w:type="dxa"/>
            <w:noWrap/>
            <w:hideMark/>
          </w:tcPr>
          <w:p w14:paraId="6C6B3E1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5.72</w:t>
            </w:r>
          </w:p>
        </w:tc>
        <w:tc>
          <w:tcPr>
            <w:tcW w:w="1080" w:type="dxa"/>
            <w:noWrap/>
            <w:hideMark/>
          </w:tcPr>
          <w:p w14:paraId="69390C0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5.08</w:t>
            </w:r>
          </w:p>
        </w:tc>
        <w:tc>
          <w:tcPr>
            <w:tcW w:w="1020" w:type="dxa"/>
            <w:noWrap/>
            <w:hideMark/>
          </w:tcPr>
          <w:p w14:paraId="4C8E8FE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5.48</w:t>
            </w:r>
          </w:p>
        </w:tc>
        <w:tc>
          <w:tcPr>
            <w:tcW w:w="1104" w:type="dxa"/>
            <w:noWrap/>
            <w:hideMark/>
          </w:tcPr>
          <w:p w14:paraId="14336F5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5.67</w:t>
            </w:r>
          </w:p>
        </w:tc>
        <w:tc>
          <w:tcPr>
            <w:tcW w:w="1162" w:type="dxa"/>
            <w:noWrap/>
            <w:hideMark/>
          </w:tcPr>
          <w:p w14:paraId="1442BE43"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5.32</w:t>
            </w:r>
          </w:p>
        </w:tc>
      </w:tr>
      <w:tr w:rsidR="00973A32" w:rsidRPr="00973A32" w14:paraId="77D25E66" w14:textId="77777777" w:rsidTr="00973A32">
        <w:trPr>
          <w:trHeight w:val="300"/>
        </w:trPr>
        <w:tc>
          <w:tcPr>
            <w:tcW w:w="3774" w:type="dxa"/>
            <w:noWrap/>
            <w:hideMark/>
          </w:tcPr>
          <w:p w14:paraId="45AAFDC2"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Virginia Racing Commission</w:t>
            </w:r>
          </w:p>
        </w:tc>
        <w:tc>
          <w:tcPr>
            <w:tcW w:w="960" w:type="dxa"/>
            <w:noWrap/>
            <w:hideMark/>
          </w:tcPr>
          <w:p w14:paraId="4BD5D69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5.45</w:t>
            </w:r>
          </w:p>
        </w:tc>
        <w:tc>
          <w:tcPr>
            <w:tcW w:w="1080" w:type="dxa"/>
            <w:noWrap/>
            <w:hideMark/>
          </w:tcPr>
          <w:p w14:paraId="659633E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5.42</w:t>
            </w:r>
          </w:p>
        </w:tc>
        <w:tc>
          <w:tcPr>
            <w:tcW w:w="1020" w:type="dxa"/>
            <w:noWrap/>
            <w:hideMark/>
          </w:tcPr>
          <w:p w14:paraId="4E51DE9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5.63</w:t>
            </w:r>
          </w:p>
        </w:tc>
        <w:tc>
          <w:tcPr>
            <w:tcW w:w="1104" w:type="dxa"/>
            <w:noWrap/>
            <w:hideMark/>
          </w:tcPr>
          <w:p w14:paraId="35D601A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w:t>
            </w:r>
          </w:p>
        </w:tc>
        <w:tc>
          <w:tcPr>
            <w:tcW w:w="1162" w:type="dxa"/>
            <w:noWrap/>
            <w:hideMark/>
          </w:tcPr>
          <w:p w14:paraId="6E095A1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5.33</w:t>
            </w:r>
          </w:p>
        </w:tc>
      </w:tr>
      <w:tr w:rsidR="00973A32" w:rsidRPr="00973A32" w14:paraId="54B5C9D5" w14:textId="77777777" w:rsidTr="00973A32">
        <w:trPr>
          <w:trHeight w:val="300"/>
        </w:trPr>
        <w:tc>
          <w:tcPr>
            <w:tcW w:w="3774" w:type="dxa"/>
            <w:noWrap/>
            <w:hideMark/>
          </w:tcPr>
          <w:p w14:paraId="5C7C6FDB"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Indigent Defense Commission</w:t>
            </w:r>
          </w:p>
        </w:tc>
        <w:tc>
          <w:tcPr>
            <w:tcW w:w="960" w:type="dxa"/>
            <w:noWrap/>
            <w:hideMark/>
          </w:tcPr>
          <w:p w14:paraId="2CDC07B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5.52</w:t>
            </w:r>
          </w:p>
        </w:tc>
        <w:tc>
          <w:tcPr>
            <w:tcW w:w="1080" w:type="dxa"/>
            <w:noWrap/>
            <w:hideMark/>
          </w:tcPr>
          <w:p w14:paraId="101FD0B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5.3</w:t>
            </w:r>
          </w:p>
        </w:tc>
        <w:tc>
          <w:tcPr>
            <w:tcW w:w="1020" w:type="dxa"/>
            <w:noWrap/>
            <w:hideMark/>
          </w:tcPr>
          <w:p w14:paraId="2F95E36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5.45</w:t>
            </w:r>
          </w:p>
        </w:tc>
        <w:tc>
          <w:tcPr>
            <w:tcW w:w="1104" w:type="dxa"/>
            <w:noWrap/>
            <w:hideMark/>
          </w:tcPr>
          <w:p w14:paraId="2441BCB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5.56</w:t>
            </w:r>
          </w:p>
        </w:tc>
        <w:tc>
          <w:tcPr>
            <w:tcW w:w="1162" w:type="dxa"/>
            <w:noWrap/>
            <w:hideMark/>
          </w:tcPr>
          <w:p w14:paraId="08F25BB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5.61</w:t>
            </w:r>
          </w:p>
        </w:tc>
      </w:tr>
      <w:tr w:rsidR="00973A32" w:rsidRPr="00973A32" w14:paraId="7D5BDA8E" w14:textId="77777777" w:rsidTr="00973A32">
        <w:trPr>
          <w:trHeight w:val="300"/>
        </w:trPr>
        <w:tc>
          <w:tcPr>
            <w:tcW w:w="3774" w:type="dxa"/>
            <w:noWrap/>
            <w:hideMark/>
          </w:tcPr>
          <w:p w14:paraId="5D0CD35C"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Office of the Governor</w:t>
            </w:r>
          </w:p>
        </w:tc>
        <w:tc>
          <w:tcPr>
            <w:tcW w:w="960" w:type="dxa"/>
            <w:noWrap/>
            <w:hideMark/>
          </w:tcPr>
          <w:p w14:paraId="5015483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5.52</w:t>
            </w:r>
          </w:p>
        </w:tc>
        <w:tc>
          <w:tcPr>
            <w:tcW w:w="1080" w:type="dxa"/>
            <w:noWrap/>
            <w:hideMark/>
          </w:tcPr>
          <w:p w14:paraId="5B81218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5.24</w:t>
            </w:r>
          </w:p>
        </w:tc>
        <w:tc>
          <w:tcPr>
            <w:tcW w:w="1020" w:type="dxa"/>
            <w:noWrap/>
            <w:hideMark/>
          </w:tcPr>
          <w:p w14:paraId="03EF276F"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5.45</w:t>
            </w:r>
          </w:p>
        </w:tc>
        <w:tc>
          <w:tcPr>
            <w:tcW w:w="1104" w:type="dxa"/>
            <w:noWrap/>
            <w:hideMark/>
          </w:tcPr>
          <w:p w14:paraId="08C89170"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5.89</w:t>
            </w:r>
          </w:p>
        </w:tc>
        <w:tc>
          <w:tcPr>
            <w:tcW w:w="1162" w:type="dxa"/>
            <w:noWrap/>
            <w:hideMark/>
          </w:tcPr>
          <w:p w14:paraId="11802D70"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5.61</w:t>
            </w:r>
          </w:p>
        </w:tc>
      </w:tr>
      <w:tr w:rsidR="00973A32" w:rsidRPr="00973A32" w14:paraId="64A94250" w14:textId="77777777" w:rsidTr="00973A32">
        <w:trPr>
          <w:trHeight w:val="300"/>
        </w:trPr>
        <w:tc>
          <w:tcPr>
            <w:tcW w:w="3774" w:type="dxa"/>
            <w:noWrap/>
            <w:hideMark/>
          </w:tcPr>
          <w:p w14:paraId="47DC749E"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Science Museum of Virginia</w:t>
            </w:r>
          </w:p>
        </w:tc>
        <w:tc>
          <w:tcPr>
            <w:tcW w:w="960" w:type="dxa"/>
            <w:noWrap/>
            <w:hideMark/>
          </w:tcPr>
          <w:p w14:paraId="6F72B4FA"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5.52</w:t>
            </w:r>
          </w:p>
        </w:tc>
        <w:tc>
          <w:tcPr>
            <w:tcW w:w="1080" w:type="dxa"/>
            <w:noWrap/>
            <w:hideMark/>
          </w:tcPr>
          <w:p w14:paraId="1E95C40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5.31</w:t>
            </w:r>
          </w:p>
        </w:tc>
        <w:tc>
          <w:tcPr>
            <w:tcW w:w="1020" w:type="dxa"/>
            <w:noWrap/>
            <w:hideMark/>
          </w:tcPr>
          <w:p w14:paraId="728DCE8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5.45</w:t>
            </w:r>
          </w:p>
        </w:tc>
        <w:tc>
          <w:tcPr>
            <w:tcW w:w="1104" w:type="dxa"/>
            <w:noWrap/>
            <w:hideMark/>
          </w:tcPr>
          <w:p w14:paraId="4539F62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5.56</w:t>
            </w:r>
          </w:p>
        </w:tc>
        <w:tc>
          <w:tcPr>
            <w:tcW w:w="1162" w:type="dxa"/>
            <w:noWrap/>
            <w:hideMark/>
          </w:tcPr>
          <w:p w14:paraId="5BA5047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5.61</w:t>
            </w:r>
          </w:p>
        </w:tc>
      </w:tr>
      <w:tr w:rsidR="00973A32" w:rsidRPr="00973A32" w14:paraId="7D2B48D0" w14:textId="77777777" w:rsidTr="00973A32">
        <w:trPr>
          <w:trHeight w:val="300"/>
        </w:trPr>
        <w:tc>
          <w:tcPr>
            <w:tcW w:w="3774" w:type="dxa"/>
            <w:noWrap/>
            <w:hideMark/>
          </w:tcPr>
          <w:p w14:paraId="4C61E548"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Southern Virginia Higher Education Center</w:t>
            </w:r>
          </w:p>
        </w:tc>
        <w:tc>
          <w:tcPr>
            <w:tcW w:w="960" w:type="dxa"/>
            <w:noWrap/>
            <w:hideMark/>
          </w:tcPr>
          <w:p w14:paraId="62A5DC6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5.52</w:t>
            </w:r>
          </w:p>
        </w:tc>
        <w:tc>
          <w:tcPr>
            <w:tcW w:w="1080" w:type="dxa"/>
            <w:noWrap/>
            <w:hideMark/>
          </w:tcPr>
          <w:p w14:paraId="10059F8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5.24</w:t>
            </w:r>
          </w:p>
        </w:tc>
        <w:tc>
          <w:tcPr>
            <w:tcW w:w="1020" w:type="dxa"/>
            <w:noWrap/>
            <w:hideMark/>
          </w:tcPr>
          <w:p w14:paraId="42C4FF44"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5.52</w:t>
            </w:r>
          </w:p>
        </w:tc>
        <w:tc>
          <w:tcPr>
            <w:tcW w:w="1104" w:type="dxa"/>
            <w:noWrap/>
            <w:hideMark/>
          </w:tcPr>
          <w:p w14:paraId="1A81A0A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5.56</w:t>
            </w:r>
          </w:p>
        </w:tc>
        <w:tc>
          <w:tcPr>
            <w:tcW w:w="1162" w:type="dxa"/>
            <w:noWrap/>
            <w:hideMark/>
          </w:tcPr>
          <w:p w14:paraId="79FD156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5.61</w:t>
            </w:r>
          </w:p>
        </w:tc>
      </w:tr>
      <w:tr w:rsidR="00973A32" w:rsidRPr="00973A32" w14:paraId="56697A10" w14:textId="77777777" w:rsidTr="00973A32">
        <w:trPr>
          <w:trHeight w:val="300"/>
        </w:trPr>
        <w:tc>
          <w:tcPr>
            <w:tcW w:w="3774" w:type="dxa"/>
            <w:noWrap/>
            <w:hideMark/>
          </w:tcPr>
          <w:p w14:paraId="00955485"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Virginia Museum of Natural History</w:t>
            </w:r>
          </w:p>
        </w:tc>
        <w:tc>
          <w:tcPr>
            <w:tcW w:w="960" w:type="dxa"/>
            <w:noWrap/>
            <w:hideMark/>
          </w:tcPr>
          <w:p w14:paraId="7BD816A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5.52</w:t>
            </w:r>
          </w:p>
        </w:tc>
        <w:tc>
          <w:tcPr>
            <w:tcW w:w="1080" w:type="dxa"/>
            <w:noWrap/>
            <w:hideMark/>
          </w:tcPr>
          <w:p w14:paraId="2BEA088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5.24</w:t>
            </w:r>
          </w:p>
        </w:tc>
        <w:tc>
          <w:tcPr>
            <w:tcW w:w="1020" w:type="dxa"/>
            <w:noWrap/>
            <w:hideMark/>
          </w:tcPr>
          <w:p w14:paraId="4C5695E3"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5.52</w:t>
            </w:r>
          </w:p>
        </w:tc>
        <w:tc>
          <w:tcPr>
            <w:tcW w:w="1104" w:type="dxa"/>
            <w:noWrap/>
            <w:hideMark/>
          </w:tcPr>
          <w:p w14:paraId="30C0F3B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5.56</w:t>
            </w:r>
          </w:p>
        </w:tc>
        <w:tc>
          <w:tcPr>
            <w:tcW w:w="1162" w:type="dxa"/>
            <w:noWrap/>
            <w:hideMark/>
          </w:tcPr>
          <w:p w14:paraId="7551990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5.61</w:t>
            </w:r>
          </w:p>
        </w:tc>
      </w:tr>
      <w:tr w:rsidR="00973A32" w:rsidRPr="00973A32" w14:paraId="3202D047" w14:textId="77777777" w:rsidTr="00973A32">
        <w:trPr>
          <w:trHeight w:val="300"/>
        </w:trPr>
        <w:tc>
          <w:tcPr>
            <w:tcW w:w="3774" w:type="dxa"/>
            <w:noWrap/>
            <w:hideMark/>
          </w:tcPr>
          <w:p w14:paraId="277C98B2"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Compensation Board</w:t>
            </w:r>
          </w:p>
        </w:tc>
        <w:tc>
          <w:tcPr>
            <w:tcW w:w="960" w:type="dxa"/>
            <w:noWrap/>
            <w:hideMark/>
          </w:tcPr>
          <w:p w14:paraId="71FAB92E"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5.69</w:t>
            </w:r>
          </w:p>
        </w:tc>
        <w:tc>
          <w:tcPr>
            <w:tcW w:w="1080" w:type="dxa"/>
            <w:noWrap/>
            <w:hideMark/>
          </w:tcPr>
          <w:p w14:paraId="3A9F15B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5.76</w:t>
            </w:r>
          </w:p>
        </w:tc>
        <w:tc>
          <w:tcPr>
            <w:tcW w:w="1020" w:type="dxa"/>
            <w:noWrap/>
            <w:hideMark/>
          </w:tcPr>
          <w:p w14:paraId="0410FF00"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5.41</w:t>
            </w:r>
          </w:p>
        </w:tc>
        <w:tc>
          <w:tcPr>
            <w:tcW w:w="1104" w:type="dxa"/>
            <w:noWrap/>
            <w:hideMark/>
          </w:tcPr>
          <w:p w14:paraId="1B135D9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w:t>
            </w:r>
          </w:p>
        </w:tc>
        <w:tc>
          <w:tcPr>
            <w:tcW w:w="1162" w:type="dxa"/>
            <w:noWrap/>
            <w:hideMark/>
          </w:tcPr>
          <w:p w14:paraId="50FA6BB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5.15</w:t>
            </w:r>
          </w:p>
        </w:tc>
      </w:tr>
      <w:tr w:rsidR="00973A32" w:rsidRPr="00973A32" w14:paraId="70832F9C" w14:textId="77777777" w:rsidTr="00973A32">
        <w:trPr>
          <w:trHeight w:val="300"/>
        </w:trPr>
        <w:tc>
          <w:tcPr>
            <w:tcW w:w="3774" w:type="dxa"/>
            <w:noWrap/>
            <w:hideMark/>
          </w:tcPr>
          <w:p w14:paraId="30FCFF3F"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Game and Inland Fisheries</w:t>
            </w:r>
          </w:p>
        </w:tc>
        <w:tc>
          <w:tcPr>
            <w:tcW w:w="960" w:type="dxa"/>
            <w:noWrap/>
            <w:hideMark/>
          </w:tcPr>
          <w:p w14:paraId="74D8EA5A"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5.87</w:t>
            </w:r>
          </w:p>
        </w:tc>
        <w:tc>
          <w:tcPr>
            <w:tcW w:w="1080" w:type="dxa"/>
            <w:noWrap/>
            <w:hideMark/>
          </w:tcPr>
          <w:p w14:paraId="40A37010"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5.8</w:t>
            </w:r>
          </w:p>
        </w:tc>
        <w:tc>
          <w:tcPr>
            <w:tcW w:w="1020" w:type="dxa"/>
            <w:noWrap/>
            <w:hideMark/>
          </w:tcPr>
          <w:p w14:paraId="590EE8E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5.38</w:t>
            </w:r>
          </w:p>
        </w:tc>
        <w:tc>
          <w:tcPr>
            <w:tcW w:w="1104" w:type="dxa"/>
            <w:noWrap/>
            <w:hideMark/>
          </w:tcPr>
          <w:p w14:paraId="2C09F6F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5.78</w:t>
            </w:r>
          </w:p>
        </w:tc>
        <w:tc>
          <w:tcPr>
            <w:tcW w:w="1162" w:type="dxa"/>
            <w:noWrap/>
            <w:hideMark/>
          </w:tcPr>
          <w:p w14:paraId="1554C7D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4.67</w:t>
            </w:r>
          </w:p>
        </w:tc>
      </w:tr>
      <w:tr w:rsidR="00973A32" w:rsidRPr="00973A32" w14:paraId="4460EB0E" w14:textId="77777777" w:rsidTr="00973A32">
        <w:trPr>
          <w:trHeight w:val="300"/>
        </w:trPr>
        <w:tc>
          <w:tcPr>
            <w:tcW w:w="3774" w:type="dxa"/>
            <w:noWrap/>
            <w:hideMark/>
          </w:tcPr>
          <w:p w14:paraId="73C66FD3"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Historic Resources</w:t>
            </w:r>
          </w:p>
        </w:tc>
        <w:tc>
          <w:tcPr>
            <w:tcW w:w="960" w:type="dxa"/>
            <w:noWrap/>
            <w:hideMark/>
          </w:tcPr>
          <w:p w14:paraId="1EBCF11C"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5.93</w:t>
            </w:r>
          </w:p>
        </w:tc>
        <w:tc>
          <w:tcPr>
            <w:tcW w:w="1080" w:type="dxa"/>
            <w:noWrap/>
            <w:hideMark/>
          </w:tcPr>
          <w:p w14:paraId="517A719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5.8</w:t>
            </w:r>
          </w:p>
        </w:tc>
        <w:tc>
          <w:tcPr>
            <w:tcW w:w="1020" w:type="dxa"/>
            <w:noWrap/>
            <w:hideMark/>
          </w:tcPr>
          <w:p w14:paraId="6164DDC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w:t>
            </w:r>
          </w:p>
        </w:tc>
        <w:tc>
          <w:tcPr>
            <w:tcW w:w="1104" w:type="dxa"/>
            <w:noWrap/>
            <w:hideMark/>
          </w:tcPr>
          <w:p w14:paraId="759D54B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w:t>
            </w:r>
          </w:p>
        </w:tc>
        <w:tc>
          <w:tcPr>
            <w:tcW w:w="1162" w:type="dxa"/>
            <w:noWrap/>
            <w:hideMark/>
          </w:tcPr>
          <w:p w14:paraId="2FC8C60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5.15</w:t>
            </w:r>
          </w:p>
        </w:tc>
      </w:tr>
      <w:tr w:rsidR="00973A32" w:rsidRPr="00973A32" w14:paraId="7CD364E6" w14:textId="77777777" w:rsidTr="00973A32">
        <w:trPr>
          <w:trHeight w:val="300"/>
        </w:trPr>
        <w:tc>
          <w:tcPr>
            <w:tcW w:w="3774" w:type="dxa"/>
            <w:noWrap/>
            <w:hideMark/>
          </w:tcPr>
          <w:p w14:paraId="552657FE"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Labor and Industry</w:t>
            </w:r>
          </w:p>
        </w:tc>
        <w:tc>
          <w:tcPr>
            <w:tcW w:w="960" w:type="dxa"/>
            <w:noWrap/>
            <w:hideMark/>
          </w:tcPr>
          <w:p w14:paraId="3B0A984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5.52</w:t>
            </w:r>
          </w:p>
        </w:tc>
        <w:tc>
          <w:tcPr>
            <w:tcW w:w="1080" w:type="dxa"/>
            <w:noWrap/>
            <w:hideMark/>
          </w:tcPr>
          <w:p w14:paraId="20815A1A"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5.24</w:t>
            </w:r>
          </w:p>
        </w:tc>
        <w:tc>
          <w:tcPr>
            <w:tcW w:w="1020" w:type="dxa"/>
            <w:noWrap/>
            <w:hideMark/>
          </w:tcPr>
          <w:p w14:paraId="1D6A5DA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5.61</w:t>
            </w:r>
          </w:p>
        </w:tc>
        <w:tc>
          <w:tcPr>
            <w:tcW w:w="1104" w:type="dxa"/>
            <w:noWrap/>
            <w:hideMark/>
          </w:tcPr>
          <w:p w14:paraId="1497B114"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5.56</w:t>
            </w:r>
          </w:p>
        </w:tc>
        <w:tc>
          <w:tcPr>
            <w:tcW w:w="1162" w:type="dxa"/>
            <w:noWrap/>
            <w:hideMark/>
          </w:tcPr>
          <w:p w14:paraId="1A7104D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5.68</w:t>
            </w:r>
          </w:p>
        </w:tc>
      </w:tr>
      <w:tr w:rsidR="00973A32" w:rsidRPr="00973A32" w14:paraId="13053814" w14:textId="77777777" w:rsidTr="00973A32">
        <w:trPr>
          <w:trHeight w:val="300"/>
        </w:trPr>
        <w:tc>
          <w:tcPr>
            <w:tcW w:w="3774" w:type="dxa"/>
            <w:noWrap/>
            <w:hideMark/>
          </w:tcPr>
          <w:p w14:paraId="54D2BF9E"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Frontier Culture Museum of Virginia</w:t>
            </w:r>
          </w:p>
        </w:tc>
        <w:tc>
          <w:tcPr>
            <w:tcW w:w="960" w:type="dxa"/>
            <w:noWrap/>
            <w:hideMark/>
          </w:tcPr>
          <w:p w14:paraId="340DF82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5.76</w:t>
            </w:r>
          </w:p>
        </w:tc>
        <w:tc>
          <w:tcPr>
            <w:tcW w:w="1080" w:type="dxa"/>
            <w:noWrap/>
            <w:hideMark/>
          </w:tcPr>
          <w:p w14:paraId="16F69FC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5.69</w:t>
            </w:r>
          </w:p>
        </w:tc>
        <w:tc>
          <w:tcPr>
            <w:tcW w:w="1020" w:type="dxa"/>
            <w:noWrap/>
            <w:hideMark/>
          </w:tcPr>
          <w:p w14:paraId="0E5C6F6F"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w:t>
            </w:r>
          </w:p>
        </w:tc>
        <w:tc>
          <w:tcPr>
            <w:tcW w:w="1104" w:type="dxa"/>
            <w:noWrap/>
            <w:hideMark/>
          </w:tcPr>
          <w:p w14:paraId="0B2BBC8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5.22</w:t>
            </w:r>
          </w:p>
        </w:tc>
        <w:tc>
          <w:tcPr>
            <w:tcW w:w="1162" w:type="dxa"/>
            <w:noWrap/>
            <w:hideMark/>
          </w:tcPr>
          <w:p w14:paraId="27EB902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5.45</w:t>
            </w:r>
          </w:p>
        </w:tc>
      </w:tr>
      <w:tr w:rsidR="00973A32" w:rsidRPr="00973A32" w14:paraId="650789CE" w14:textId="77777777" w:rsidTr="00973A32">
        <w:trPr>
          <w:trHeight w:val="300"/>
        </w:trPr>
        <w:tc>
          <w:tcPr>
            <w:tcW w:w="3774" w:type="dxa"/>
            <w:noWrap/>
            <w:hideMark/>
          </w:tcPr>
          <w:p w14:paraId="4A4514EE"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Education</w:t>
            </w:r>
          </w:p>
        </w:tc>
        <w:tc>
          <w:tcPr>
            <w:tcW w:w="960" w:type="dxa"/>
            <w:noWrap/>
            <w:hideMark/>
          </w:tcPr>
          <w:p w14:paraId="5740DB1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5.51</w:t>
            </w:r>
          </w:p>
        </w:tc>
        <w:tc>
          <w:tcPr>
            <w:tcW w:w="1080" w:type="dxa"/>
            <w:noWrap/>
            <w:hideMark/>
          </w:tcPr>
          <w:p w14:paraId="6E22832E"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4.62</w:t>
            </w:r>
          </w:p>
        </w:tc>
        <w:tc>
          <w:tcPr>
            <w:tcW w:w="1020" w:type="dxa"/>
            <w:noWrap/>
            <w:hideMark/>
          </w:tcPr>
          <w:p w14:paraId="3D0F7CE3"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6.3</w:t>
            </w:r>
          </w:p>
        </w:tc>
        <w:tc>
          <w:tcPr>
            <w:tcW w:w="1104" w:type="dxa"/>
            <w:noWrap/>
            <w:hideMark/>
          </w:tcPr>
          <w:p w14:paraId="1636F000"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4.33</w:t>
            </w:r>
          </w:p>
        </w:tc>
        <w:tc>
          <w:tcPr>
            <w:tcW w:w="1162" w:type="dxa"/>
            <w:noWrap/>
            <w:hideMark/>
          </w:tcPr>
          <w:p w14:paraId="54A1FA2E"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5.72</w:t>
            </w:r>
          </w:p>
        </w:tc>
      </w:tr>
      <w:tr w:rsidR="00973A32" w:rsidRPr="00973A32" w14:paraId="77C89842" w14:textId="77777777" w:rsidTr="00973A32">
        <w:trPr>
          <w:trHeight w:val="300"/>
        </w:trPr>
        <w:tc>
          <w:tcPr>
            <w:tcW w:w="3774" w:type="dxa"/>
            <w:noWrap/>
            <w:hideMark/>
          </w:tcPr>
          <w:p w14:paraId="6D3E8E88"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Aviation</w:t>
            </w:r>
          </w:p>
        </w:tc>
        <w:tc>
          <w:tcPr>
            <w:tcW w:w="960" w:type="dxa"/>
            <w:noWrap/>
            <w:hideMark/>
          </w:tcPr>
          <w:p w14:paraId="13EEEA6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4.54</w:t>
            </w:r>
          </w:p>
        </w:tc>
        <w:tc>
          <w:tcPr>
            <w:tcW w:w="1080" w:type="dxa"/>
            <w:noWrap/>
            <w:hideMark/>
          </w:tcPr>
          <w:p w14:paraId="4FA4042E"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5.61</w:t>
            </w:r>
          </w:p>
        </w:tc>
        <w:tc>
          <w:tcPr>
            <w:tcW w:w="1020" w:type="dxa"/>
            <w:noWrap/>
            <w:hideMark/>
          </w:tcPr>
          <w:p w14:paraId="6241357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5.72</w:t>
            </w:r>
          </w:p>
        </w:tc>
        <w:tc>
          <w:tcPr>
            <w:tcW w:w="1104" w:type="dxa"/>
            <w:noWrap/>
            <w:hideMark/>
          </w:tcPr>
          <w:p w14:paraId="7AAD37D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5.67</w:t>
            </w:r>
          </w:p>
        </w:tc>
        <w:tc>
          <w:tcPr>
            <w:tcW w:w="1162" w:type="dxa"/>
            <w:noWrap/>
            <w:hideMark/>
          </w:tcPr>
          <w:p w14:paraId="6244785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6.96</w:t>
            </w:r>
          </w:p>
        </w:tc>
      </w:tr>
      <w:tr w:rsidR="00973A32" w:rsidRPr="00973A32" w14:paraId="53E76CE8" w14:textId="77777777" w:rsidTr="00973A32">
        <w:trPr>
          <w:trHeight w:val="300"/>
        </w:trPr>
        <w:tc>
          <w:tcPr>
            <w:tcW w:w="3774" w:type="dxa"/>
            <w:noWrap/>
            <w:hideMark/>
          </w:tcPr>
          <w:p w14:paraId="65861E33"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Gunston Hall</w:t>
            </w:r>
          </w:p>
        </w:tc>
        <w:tc>
          <w:tcPr>
            <w:tcW w:w="960" w:type="dxa"/>
            <w:noWrap/>
            <w:hideMark/>
          </w:tcPr>
          <w:p w14:paraId="65417EE4"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5.76</w:t>
            </w:r>
          </w:p>
        </w:tc>
        <w:tc>
          <w:tcPr>
            <w:tcW w:w="1080" w:type="dxa"/>
            <w:noWrap/>
            <w:hideMark/>
          </w:tcPr>
          <w:p w14:paraId="1CADCE0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5.35</w:t>
            </w:r>
          </w:p>
        </w:tc>
        <w:tc>
          <w:tcPr>
            <w:tcW w:w="1020" w:type="dxa"/>
            <w:noWrap/>
            <w:hideMark/>
          </w:tcPr>
          <w:p w14:paraId="52C62DF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5.74</w:t>
            </w:r>
          </w:p>
        </w:tc>
        <w:tc>
          <w:tcPr>
            <w:tcW w:w="1104" w:type="dxa"/>
            <w:noWrap/>
            <w:hideMark/>
          </w:tcPr>
          <w:p w14:paraId="17DE893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5.67</w:t>
            </w:r>
          </w:p>
        </w:tc>
        <w:tc>
          <w:tcPr>
            <w:tcW w:w="1162" w:type="dxa"/>
            <w:noWrap/>
            <w:hideMark/>
          </w:tcPr>
          <w:p w14:paraId="4F42E210"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5.65</w:t>
            </w:r>
          </w:p>
        </w:tc>
      </w:tr>
      <w:tr w:rsidR="00973A32" w:rsidRPr="00973A32" w14:paraId="0DD1AA59" w14:textId="77777777" w:rsidTr="00973A32">
        <w:trPr>
          <w:trHeight w:val="300"/>
        </w:trPr>
        <w:tc>
          <w:tcPr>
            <w:tcW w:w="3774" w:type="dxa"/>
            <w:noWrap/>
            <w:hideMark/>
          </w:tcPr>
          <w:p w14:paraId="7049EC1A"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Board of Accountancy</w:t>
            </w:r>
          </w:p>
        </w:tc>
        <w:tc>
          <w:tcPr>
            <w:tcW w:w="960" w:type="dxa"/>
            <w:noWrap/>
            <w:hideMark/>
          </w:tcPr>
          <w:p w14:paraId="5EF389E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5.69</w:t>
            </w:r>
          </w:p>
        </w:tc>
        <w:tc>
          <w:tcPr>
            <w:tcW w:w="1080" w:type="dxa"/>
            <w:noWrap/>
            <w:hideMark/>
          </w:tcPr>
          <w:p w14:paraId="3FFDF7F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5.76</w:t>
            </w:r>
          </w:p>
        </w:tc>
        <w:tc>
          <w:tcPr>
            <w:tcW w:w="1020" w:type="dxa"/>
            <w:noWrap/>
            <w:hideMark/>
          </w:tcPr>
          <w:p w14:paraId="0D1EE6DF"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5.66</w:t>
            </w:r>
          </w:p>
        </w:tc>
        <w:tc>
          <w:tcPr>
            <w:tcW w:w="1104" w:type="dxa"/>
            <w:noWrap/>
            <w:hideMark/>
          </w:tcPr>
          <w:p w14:paraId="758BC390"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5.44</w:t>
            </w:r>
          </w:p>
        </w:tc>
        <w:tc>
          <w:tcPr>
            <w:tcW w:w="1162" w:type="dxa"/>
            <w:noWrap/>
            <w:hideMark/>
          </w:tcPr>
          <w:p w14:paraId="0DDA614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5.29</w:t>
            </w:r>
          </w:p>
        </w:tc>
      </w:tr>
      <w:tr w:rsidR="00973A32" w:rsidRPr="00973A32" w14:paraId="424CC823" w14:textId="77777777" w:rsidTr="00973A32">
        <w:trPr>
          <w:trHeight w:val="300"/>
        </w:trPr>
        <w:tc>
          <w:tcPr>
            <w:tcW w:w="3774" w:type="dxa"/>
            <w:noWrap/>
            <w:hideMark/>
          </w:tcPr>
          <w:p w14:paraId="3F80C07E"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Human Resource Management</w:t>
            </w:r>
          </w:p>
        </w:tc>
        <w:tc>
          <w:tcPr>
            <w:tcW w:w="960" w:type="dxa"/>
            <w:noWrap/>
            <w:hideMark/>
          </w:tcPr>
          <w:p w14:paraId="4965896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5.93</w:t>
            </w:r>
          </w:p>
        </w:tc>
        <w:tc>
          <w:tcPr>
            <w:tcW w:w="1080" w:type="dxa"/>
            <w:noWrap/>
            <w:hideMark/>
          </w:tcPr>
          <w:p w14:paraId="5754EFE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5.8</w:t>
            </w:r>
          </w:p>
        </w:tc>
        <w:tc>
          <w:tcPr>
            <w:tcW w:w="1020" w:type="dxa"/>
            <w:noWrap/>
            <w:hideMark/>
          </w:tcPr>
          <w:p w14:paraId="7084A00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5.54</w:t>
            </w:r>
          </w:p>
        </w:tc>
        <w:tc>
          <w:tcPr>
            <w:tcW w:w="1104" w:type="dxa"/>
            <w:noWrap/>
            <w:hideMark/>
          </w:tcPr>
          <w:p w14:paraId="2AFBF2FA"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5.67</w:t>
            </w:r>
          </w:p>
        </w:tc>
        <w:tc>
          <w:tcPr>
            <w:tcW w:w="1162" w:type="dxa"/>
            <w:noWrap/>
            <w:hideMark/>
          </w:tcPr>
          <w:p w14:paraId="1EA530C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5.53</w:t>
            </w:r>
          </w:p>
        </w:tc>
      </w:tr>
      <w:tr w:rsidR="00973A32" w:rsidRPr="00973A32" w14:paraId="694DC365" w14:textId="77777777" w:rsidTr="00973A32">
        <w:trPr>
          <w:trHeight w:val="300"/>
        </w:trPr>
        <w:tc>
          <w:tcPr>
            <w:tcW w:w="3774" w:type="dxa"/>
            <w:noWrap/>
            <w:hideMark/>
          </w:tcPr>
          <w:p w14:paraId="16A6C700"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Health Professions</w:t>
            </w:r>
          </w:p>
        </w:tc>
        <w:tc>
          <w:tcPr>
            <w:tcW w:w="960" w:type="dxa"/>
            <w:noWrap/>
            <w:hideMark/>
          </w:tcPr>
          <w:p w14:paraId="172D0E23"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5.76</w:t>
            </w:r>
          </w:p>
        </w:tc>
        <w:tc>
          <w:tcPr>
            <w:tcW w:w="1080" w:type="dxa"/>
            <w:noWrap/>
            <w:hideMark/>
          </w:tcPr>
          <w:p w14:paraId="368424F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5.94</w:t>
            </w:r>
          </w:p>
        </w:tc>
        <w:tc>
          <w:tcPr>
            <w:tcW w:w="1020" w:type="dxa"/>
            <w:noWrap/>
            <w:hideMark/>
          </w:tcPr>
          <w:p w14:paraId="068ADFD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5.87</w:t>
            </w:r>
          </w:p>
        </w:tc>
        <w:tc>
          <w:tcPr>
            <w:tcW w:w="1104" w:type="dxa"/>
            <w:noWrap/>
            <w:hideMark/>
          </w:tcPr>
          <w:p w14:paraId="18B8FE5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5.33</w:t>
            </w:r>
          </w:p>
        </w:tc>
        <w:tc>
          <w:tcPr>
            <w:tcW w:w="1162" w:type="dxa"/>
            <w:noWrap/>
            <w:hideMark/>
          </w:tcPr>
          <w:p w14:paraId="0C02FA6C"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5.68</w:t>
            </w:r>
          </w:p>
        </w:tc>
      </w:tr>
      <w:tr w:rsidR="00973A32" w:rsidRPr="00973A32" w14:paraId="71148F43" w14:textId="77777777" w:rsidTr="00973A32">
        <w:trPr>
          <w:trHeight w:val="300"/>
        </w:trPr>
        <w:tc>
          <w:tcPr>
            <w:tcW w:w="3774" w:type="dxa"/>
            <w:noWrap/>
            <w:hideMark/>
          </w:tcPr>
          <w:p w14:paraId="674DE270"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Planning and Budget</w:t>
            </w:r>
          </w:p>
        </w:tc>
        <w:tc>
          <w:tcPr>
            <w:tcW w:w="960" w:type="dxa"/>
            <w:noWrap/>
            <w:hideMark/>
          </w:tcPr>
          <w:p w14:paraId="31F4E05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5.76</w:t>
            </w:r>
          </w:p>
        </w:tc>
        <w:tc>
          <w:tcPr>
            <w:tcW w:w="1080" w:type="dxa"/>
            <w:noWrap/>
            <w:hideMark/>
          </w:tcPr>
          <w:p w14:paraId="1A4F5AE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5.86</w:t>
            </w:r>
          </w:p>
        </w:tc>
        <w:tc>
          <w:tcPr>
            <w:tcW w:w="1020" w:type="dxa"/>
            <w:noWrap/>
            <w:hideMark/>
          </w:tcPr>
          <w:p w14:paraId="715EF59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5.8</w:t>
            </w:r>
          </w:p>
        </w:tc>
        <w:tc>
          <w:tcPr>
            <w:tcW w:w="1104" w:type="dxa"/>
            <w:noWrap/>
            <w:hideMark/>
          </w:tcPr>
          <w:p w14:paraId="6301232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w:t>
            </w:r>
          </w:p>
        </w:tc>
        <w:tc>
          <w:tcPr>
            <w:tcW w:w="1162" w:type="dxa"/>
            <w:noWrap/>
            <w:hideMark/>
          </w:tcPr>
          <w:p w14:paraId="3DAEAC4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5.61</w:t>
            </w:r>
          </w:p>
        </w:tc>
      </w:tr>
      <w:tr w:rsidR="00973A32" w:rsidRPr="00973A32" w14:paraId="1DBBD47A" w14:textId="77777777" w:rsidTr="00973A32">
        <w:trPr>
          <w:trHeight w:val="300"/>
        </w:trPr>
        <w:tc>
          <w:tcPr>
            <w:tcW w:w="3774" w:type="dxa"/>
            <w:noWrap/>
            <w:hideMark/>
          </w:tcPr>
          <w:p w14:paraId="3CC8EB43"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Virginia Workers Compensation Commission</w:t>
            </w:r>
          </w:p>
        </w:tc>
        <w:tc>
          <w:tcPr>
            <w:tcW w:w="960" w:type="dxa"/>
            <w:noWrap/>
            <w:hideMark/>
          </w:tcPr>
          <w:p w14:paraId="02F62EC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5.45</w:t>
            </w:r>
          </w:p>
        </w:tc>
        <w:tc>
          <w:tcPr>
            <w:tcW w:w="1080" w:type="dxa"/>
            <w:noWrap/>
            <w:hideMark/>
          </w:tcPr>
          <w:p w14:paraId="396E308F"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6.1</w:t>
            </w:r>
          </w:p>
        </w:tc>
        <w:tc>
          <w:tcPr>
            <w:tcW w:w="1020" w:type="dxa"/>
            <w:noWrap/>
            <w:hideMark/>
          </w:tcPr>
          <w:p w14:paraId="5349BFB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6.22</w:t>
            </w:r>
          </w:p>
        </w:tc>
        <w:tc>
          <w:tcPr>
            <w:tcW w:w="1104" w:type="dxa"/>
            <w:noWrap/>
            <w:hideMark/>
          </w:tcPr>
          <w:p w14:paraId="4F4D5B5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5.44</w:t>
            </w:r>
          </w:p>
        </w:tc>
        <w:tc>
          <w:tcPr>
            <w:tcW w:w="1162" w:type="dxa"/>
            <w:noWrap/>
            <w:hideMark/>
          </w:tcPr>
          <w:p w14:paraId="65B64D2E"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5.42</w:t>
            </w:r>
          </w:p>
        </w:tc>
      </w:tr>
      <w:tr w:rsidR="00973A32" w:rsidRPr="00973A32" w14:paraId="2F63E52F" w14:textId="77777777" w:rsidTr="00973A32">
        <w:trPr>
          <w:trHeight w:val="300"/>
        </w:trPr>
        <w:tc>
          <w:tcPr>
            <w:tcW w:w="3774" w:type="dxa"/>
            <w:noWrap/>
            <w:hideMark/>
          </w:tcPr>
          <w:p w14:paraId="49D2FBF9"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Library of Virginia</w:t>
            </w:r>
          </w:p>
        </w:tc>
        <w:tc>
          <w:tcPr>
            <w:tcW w:w="960" w:type="dxa"/>
            <w:noWrap/>
            <w:hideMark/>
          </w:tcPr>
          <w:p w14:paraId="3E196D6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6.03</w:t>
            </w:r>
          </w:p>
        </w:tc>
        <w:tc>
          <w:tcPr>
            <w:tcW w:w="1080" w:type="dxa"/>
            <w:noWrap/>
            <w:hideMark/>
          </w:tcPr>
          <w:p w14:paraId="7085E79F"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5.82</w:t>
            </w:r>
          </w:p>
        </w:tc>
        <w:tc>
          <w:tcPr>
            <w:tcW w:w="1020" w:type="dxa"/>
            <w:noWrap/>
            <w:hideMark/>
          </w:tcPr>
          <w:p w14:paraId="5C13A03E"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6.34</w:t>
            </w:r>
          </w:p>
        </w:tc>
        <w:tc>
          <w:tcPr>
            <w:tcW w:w="1104" w:type="dxa"/>
            <w:noWrap/>
            <w:hideMark/>
          </w:tcPr>
          <w:p w14:paraId="77F7507F"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5.33</w:t>
            </w:r>
          </w:p>
        </w:tc>
        <w:tc>
          <w:tcPr>
            <w:tcW w:w="1162" w:type="dxa"/>
            <w:noWrap/>
            <w:hideMark/>
          </w:tcPr>
          <w:p w14:paraId="65D8208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5.32</w:t>
            </w:r>
          </w:p>
        </w:tc>
      </w:tr>
      <w:tr w:rsidR="00973A32" w:rsidRPr="00973A32" w14:paraId="2E48531B" w14:textId="77777777" w:rsidTr="00973A32">
        <w:trPr>
          <w:trHeight w:val="300"/>
        </w:trPr>
        <w:tc>
          <w:tcPr>
            <w:tcW w:w="3774" w:type="dxa"/>
            <w:noWrap/>
            <w:hideMark/>
          </w:tcPr>
          <w:p w14:paraId="265BFA44"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for Aging and Rehabilitative Services</w:t>
            </w:r>
          </w:p>
        </w:tc>
        <w:tc>
          <w:tcPr>
            <w:tcW w:w="960" w:type="dxa"/>
            <w:noWrap/>
            <w:hideMark/>
          </w:tcPr>
          <w:p w14:paraId="319CD36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w:t>
            </w:r>
          </w:p>
        </w:tc>
        <w:tc>
          <w:tcPr>
            <w:tcW w:w="1080" w:type="dxa"/>
            <w:noWrap/>
            <w:hideMark/>
          </w:tcPr>
          <w:p w14:paraId="6866E1F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w:t>
            </w:r>
          </w:p>
        </w:tc>
        <w:tc>
          <w:tcPr>
            <w:tcW w:w="1020" w:type="dxa"/>
            <w:noWrap/>
            <w:hideMark/>
          </w:tcPr>
          <w:p w14:paraId="4DF6DE5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w:t>
            </w:r>
          </w:p>
        </w:tc>
        <w:tc>
          <w:tcPr>
            <w:tcW w:w="1104" w:type="dxa"/>
            <w:noWrap/>
            <w:hideMark/>
          </w:tcPr>
          <w:p w14:paraId="12BCE99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w:t>
            </w:r>
          </w:p>
        </w:tc>
        <w:tc>
          <w:tcPr>
            <w:tcW w:w="1162" w:type="dxa"/>
            <w:noWrap/>
            <w:hideMark/>
          </w:tcPr>
          <w:p w14:paraId="7459A62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w:t>
            </w:r>
          </w:p>
        </w:tc>
      </w:tr>
      <w:tr w:rsidR="00973A32" w:rsidRPr="00973A32" w14:paraId="5BC0E74A" w14:textId="77777777" w:rsidTr="00973A32">
        <w:trPr>
          <w:trHeight w:val="300"/>
        </w:trPr>
        <w:tc>
          <w:tcPr>
            <w:tcW w:w="3774" w:type="dxa"/>
            <w:noWrap/>
            <w:hideMark/>
          </w:tcPr>
          <w:p w14:paraId="27A8EEFA"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for the Deaf and Hard of Hearing</w:t>
            </w:r>
          </w:p>
        </w:tc>
        <w:tc>
          <w:tcPr>
            <w:tcW w:w="960" w:type="dxa"/>
            <w:noWrap/>
            <w:hideMark/>
          </w:tcPr>
          <w:p w14:paraId="16E4C13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w:t>
            </w:r>
          </w:p>
        </w:tc>
        <w:tc>
          <w:tcPr>
            <w:tcW w:w="1080" w:type="dxa"/>
            <w:noWrap/>
            <w:hideMark/>
          </w:tcPr>
          <w:p w14:paraId="60D43C8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w:t>
            </w:r>
          </w:p>
        </w:tc>
        <w:tc>
          <w:tcPr>
            <w:tcW w:w="1020" w:type="dxa"/>
            <w:noWrap/>
            <w:hideMark/>
          </w:tcPr>
          <w:p w14:paraId="49221A8C"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w:t>
            </w:r>
          </w:p>
        </w:tc>
        <w:tc>
          <w:tcPr>
            <w:tcW w:w="1104" w:type="dxa"/>
            <w:noWrap/>
            <w:hideMark/>
          </w:tcPr>
          <w:p w14:paraId="3C61461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w:t>
            </w:r>
          </w:p>
        </w:tc>
        <w:tc>
          <w:tcPr>
            <w:tcW w:w="1162" w:type="dxa"/>
            <w:noWrap/>
            <w:hideMark/>
          </w:tcPr>
          <w:p w14:paraId="7ACB13B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w:t>
            </w:r>
          </w:p>
        </w:tc>
      </w:tr>
      <w:tr w:rsidR="00973A32" w:rsidRPr="00973A32" w14:paraId="32BF7E6E" w14:textId="77777777" w:rsidTr="00973A32">
        <w:trPr>
          <w:trHeight w:val="300"/>
        </w:trPr>
        <w:tc>
          <w:tcPr>
            <w:tcW w:w="3774" w:type="dxa"/>
            <w:noWrap/>
            <w:hideMark/>
          </w:tcPr>
          <w:p w14:paraId="1275F38D"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General Services</w:t>
            </w:r>
          </w:p>
        </w:tc>
        <w:tc>
          <w:tcPr>
            <w:tcW w:w="960" w:type="dxa"/>
            <w:noWrap/>
            <w:hideMark/>
          </w:tcPr>
          <w:p w14:paraId="520D30C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5.87</w:t>
            </w:r>
          </w:p>
        </w:tc>
        <w:tc>
          <w:tcPr>
            <w:tcW w:w="1080" w:type="dxa"/>
            <w:noWrap/>
            <w:hideMark/>
          </w:tcPr>
          <w:p w14:paraId="5F142F5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6.12</w:t>
            </w:r>
          </w:p>
        </w:tc>
        <w:tc>
          <w:tcPr>
            <w:tcW w:w="1020" w:type="dxa"/>
            <w:noWrap/>
            <w:hideMark/>
          </w:tcPr>
          <w:p w14:paraId="2469AEB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6.29</w:t>
            </w:r>
          </w:p>
        </w:tc>
        <w:tc>
          <w:tcPr>
            <w:tcW w:w="1104" w:type="dxa"/>
            <w:noWrap/>
            <w:hideMark/>
          </w:tcPr>
          <w:p w14:paraId="055FA714"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w:t>
            </w:r>
          </w:p>
        </w:tc>
        <w:tc>
          <w:tcPr>
            <w:tcW w:w="1162" w:type="dxa"/>
            <w:noWrap/>
            <w:hideMark/>
          </w:tcPr>
          <w:p w14:paraId="4199578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5.92</w:t>
            </w:r>
          </w:p>
        </w:tc>
      </w:tr>
      <w:tr w:rsidR="00973A32" w:rsidRPr="00973A32" w14:paraId="50275F11" w14:textId="77777777" w:rsidTr="00973A32">
        <w:trPr>
          <w:trHeight w:val="300"/>
        </w:trPr>
        <w:tc>
          <w:tcPr>
            <w:tcW w:w="3774" w:type="dxa"/>
            <w:noWrap/>
            <w:hideMark/>
          </w:tcPr>
          <w:p w14:paraId="77621820"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Medical Assistance Services</w:t>
            </w:r>
          </w:p>
        </w:tc>
        <w:tc>
          <w:tcPr>
            <w:tcW w:w="960" w:type="dxa"/>
            <w:noWrap/>
            <w:hideMark/>
          </w:tcPr>
          <w:p w14:paraId="09447F7C"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6.27</w:t>
            </w:r>
          </w:p>
        </w:tc>
        <w:tc>
          <w:tcPr>
            <w:tcW w:w="1080" w:type="dxa"/>
            <w:noWrap/>
            <w:hideMark/>
          </w:tcPr>
          <w:p w14:paraId="23DB7544"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5.8</w:t>
            </w:r>
          </w:p>
        </w:tc>
        <w:tc>
          <w:tcPr>
            <w:tcW w:w="1020" w:type="dxa"/>
            <w:noWrap/>
            <w:hideMark/>
          </w:tcPr>
          <w:p w14:paraId="352E748A"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6.23</w:t>
            </w:r>
          </w:p>
        </w:tc>
        <w:tc>
          <w:tcPr>
            <w:tcW w:w="1104" w:type="dxa"/>
            <w:noWrap/>
            <w:hideMark/>
          </w:tcPr>
          <w:p w14:paraId="5239ACDF"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6.22</w:t>
            </w:r>
          </w:p>
        </w:tc>
        <w:tc>
          <w:tcPr>
            <w:tcW w:w="1162" w:type="dxa"/>
            <w:noWrap/>
            <w:hideMark/>
          </w:tcPr>
          <w:p w14:paraId="09A9BF9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5.81</w:t>
            </w:r>
          </w:p>
        </w:tc>
      </w:tr>
      <w:tr w:rsidR="00973A32" w:rsidRPr="00973A32" w14:paraId="1023BAF7" w14:textId="77777777" w:rsidTr="00973A32">
        <w:trPr>
          <w:trHeight w:val="300"/>
        </w:trPr>
        <w:tc>
          <w:tcPr>
            <w:tcW w:w="3774" w:type="dxa"/>
            <w:noWrap/>
            <w:hideMark/>
          </w:tcPr>
          <w:p w14:paraId="1176E1E6"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Treasury</w:t>
            </w:r>
          </w:p>
        </w:tc>
        <w:tc>
          <w:tcPr>
            <w:tcW w:w="960" w:type="dxa"/>
            <w:noWrap/>
            <w:hideMark/>
          </w:tcPr>
          <w:p w14:paraId="18C4FC6A"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6.08</w:t>
            </w:r>
          </w:p>
        </w:tc>
        <w:tc>
          <w:tcPr>
            <w:tcW w:w="1080" w:type="dxa"/>
            <w:noWrap/>
            <w:hideMark/>
          </w:tcPr>
          <w:p w14:paraId="5814296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5.83</w:t>
            </w:r>
          </w:p>
        </w:tc>
        <w:tc>
          <w:tcPr>
            <w:tcW w:w="1020" w:type="dxa"/>
            <w:noWrap/>
            <w:hideMark/>
          </w:tcPr>
          <w:p w14:paraId="1885256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6.14</w:t>
            </w:r>
          </w:p>
        </w:tc>
        <w:tc>
          <w:tcPr>
            <w:tcW w:w="1104" w:type="dxa"/>
            <w:noWrap/>
            <w:hideMark/>
          </w:tcPr>
          <w:p w14:paraId="46F93AE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5.89</w:t>
            </w:r>
          </w:p>
        </w:tc>
        <w:tc>
          <w:tcPr>
            <w:tcW w:w="1162" w:type="dxa"/>
            <w:noWrap/>
            <w:hideMark/>
          </w:tcPr>
          <w:p w14:paraId="6255C99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w:t>
            </w:r>
          </w:p>
        </w:tc>
      </w:tr>
      <w:tr w:rsidR="00973A32" w:rsidRPr="00973A32" w14:paraId="69B0E32E" w14:textId="77777777" w:rsidTr="00973A32">
        <w:trPr>
          <w:trHeight w:val="300"/>
        </w:trPr>
        <w:tc>
          <w:tcPr>
            <w:tcW w:w="3774" w:type="dxa"/>
            <w:noWrap/>
            <w:hideMark/>
          </w:tcPr>
          <w:p w14:paraId="45C85B0A"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Virginia Department of Agriculture and Consumer Services</w:t>
            </w:r>
          </w:p>
        </w:tc>
        <w:tc>
          <w:tcPr>
            <w:tcW w:w="960" w:type="dxa"/>
            <w:noWrap/>
            <w:hideMark/>
          </w:tcPr>
          <w:p w14:paraId="3259692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6.46</w:t>
            </w:r>
          </w:p>
        </w:tc>
        <w:tc>
          <w:tcPr>
            <w:tcW w:w="1080" w:type="dxa"/>
            <w:noWrap/>
            <w:hideMark/>
          </w:tcPr>
          <w:p w14:paraId="2B239A7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5.74</w:t>
            </w:r>
          </w:p>
        </w:tc>
        <w:tc>
          <w:tcPr>
            <w:tcW w:w="1020" w:type="dxa"/>
            <w:noWrap/>
            <w:hideMark/>
          </w:tcPr>
          <w:p w14:paraId="0FE9A1E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6.68</w:t>
            </w:r>
          </w:p>
        </w:tc>
        <w:tc>
          <w:tcPr>
            <w:tcW w:w="1104" w:type="dxa"/>
            <w:noWrap/>
            <w:hideMark/>
          </w:tcPr>
          <w:p w14:paraId="10F49FC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5.33</w:t>
            </w:r>
          </w:p>
        </w:tc>
        <w:tc>
          <w:tcPr>
            <w:tcW w:w="1162" w:type="dxa"/>
            <w:noWrap/>
            <w:hideMark/>
          </w:tcPr>
          <w:p w14:paraId="13A2DACF"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6.01</w:t>
            </w:r>
          </w:p>
        </w:tc>
      </w:tr>
      <w:tr w:rsidR="00973A32" w:rsidRPr="00973A32" w14:paraId="573F4449" w14:textId="77777777" w:rsidTr="00973A32">
        <w:trPr>
          <w:trHeight w:val="300"/>
        </w:trPr>
        <w:tc>
          <w:tcPr>
            <w:tcW w:w="3774" w:type="dxa"/>
            <w:noWrap/>
            <w:hideMark/>
          </w:tcPr>
          <w:p w14:paraId="42084D74"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Fire Programs</w:t>
            </w:r>
          </w:p>
        </w:tc>
        <w:tc>
          <w:tcPr>
            <w:tcW w:w="960" w:type="dxa"/>
            <w:noWrap/>
            <w:hideMark/>
          </w:tcPr>
          <w:p w14:paraId="53902AA4"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6.48</w:t>
            </w:r>
          </w:p>
        </w:tc>
        <w:tc>
          <w:tcPr>
            <w:tcW w:w="1080" w:type="dxa"/>
            <w:noWrap/>
            <w:hideMark/>
          </w:tcPr>
          <w:p w14:paraId="5CC0A4B3"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6.55</w:t>
            </w:r>
          </w:p>
        </w:tc>
        <w:tc>
          <w:tcPr>
            <w:tcW w:w="1020" w:type="dxa"/>
            <w:noWrap/>
            <w:hideMark/>
          </w:tcPr>
          <w:p w14:paraId="657B600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5.93</w:t>
            </w:r>
          </w:p>
        </w:tc>
        <w:tc>
          <w:tcPr>
            <w:tcW w:w="1104" w:type="dxa"/>
            <w:noWrap/>
            <w:hideMark/>
          </w:tcPr>
          <w:p w14:paraId="4920208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5.67</w:t>
            </w:r>
          </w:p>
        </w:tc>
        <w:tc>
          <w:tcPr>
            <w:tcW w:w="1162" w:type="dxa"/>
            <w:noWrap/>
            <w:hideMark/>
          </w:tcPr>
          <w:p w14:paraId="708C73B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6.04</w:t>
            </w:r>
          </w:p>
        </w:tc>
      </w:tr>
      <w:tr w:rsidR="00973A32" w:rsidRPr="00973A32" w14:paraId="675092A6" w14:textId="77777777" w:rsidTr="00973A32">
        <w:trPr>
          <w:trHeight w:val="300"/>
        </w:trPr>
        <w:tc>
          <w:tcPr>
            <w:tcW w:w="3774" w:type="dxa"/>
            <w:noWrap/>
            <w:hideMark/>
          </w:tcPr>
          <w:p w14:paraId="312B8F72"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Motor Vehicles</w:t>
            </w:r>
          </w:p>
        </w:tc>
        <w:tc>
          <w:tcPr>
            <w:tcW w:w="960" w:type="dxa"/>
            <w:noWrap/>
            <w:hideMark/>
          </w:tcPr>
          <w:p w14:paraId="6F2AC39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6.27</w:t>
            </w:r>
          </w:p>
        </w:tc>
        <w:tc>
          <w:tcPr>
            <w:tcW w:w="1080" w:type="dxa"/>
            <w:noWrap/>
            <w:hideMark/>
          </w:tcPr>
          <w:p w14:paraId="569EFE2E"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6.05</w:t>
            </w:r>
          </w:p>
        </w:tc>
        <w:tc>
          <w:tcPr>
            <w:tcW w:w="1020" w:type="dxa"/>
            <w:noWrap/>
            <w:hideMark/>
          </w:tcPr>
          <w:p w14:paraId="2C8A01B4"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6.74</w:t>
            </w:r>
          </w:p>
        </w:tc>
        <w:tc>
          <w:tcPr>
            <w:tcW w:w="1104" w:type="dxa"/>
            <w:noWrap/>
            <w:hideMark/>
          </w:tcPr>
          <w:p w14:paraId="45702BCF"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6.33</w:t>
            </w:r>
          </w:p>
        </w:tc>
        <w:tc>
          <w:tcPr>
            <w:tcW w:w="1162" w:type="dxa"/>
            <w:noWrap/>
            <w:hideMark/>
          </w:tcPr>
          <w:p w14:paraId="7B4D80B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6.67</w:t>
            </w:r>
          </w:p>
        </w:tc>
      </w:tr>
      <w:tr w:rsidR="00973A32" w:rsidRPr="00973A32" w14:paraId="50A9C96F" w14:textId="77777777" w:rsidTr="00973A32">
        <w:trPr>
          <w:trHeight w:val="300"/>
        </w:trPr>
        <w:tc>
          <w:tcPr>
            <w:tcW w:w="3774" w:type="dxa"/>
            <w:noWrap/>
            <w:hideMark/>
          </w:tcPr>
          <w:p w14:paraId="1916C8CB"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Virginia Retirement System</w:t>
            </w:r>
          </w:p>
        </w:tc>
        <w:tc>
          <w:tcPr>
            <w:tcW w:w="960" w:type="dxa"/>
            <w:noWrap/>
            <w:hideMark/>
          </w:tcPr>
          <w:p w14:paraId="1A21C91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6.73</w:t>
            </w:r>
          </w:p>
        </w:tc>
        <w:tc>
          <w:tcPr>
            <w:tcW w:w="1080" w:type="dxa"/>
            <w:noWrap/>
            <w:hideMark/>
          </w:tcPr>
          <w:p w14:paraId="1D2C842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6.58</w:t>
            </w:r>
          </w:p>
        </w:tc>
        <w:tc>
          <w:tcPr>
            <w:tcW w:w="1020" w:type="dxa"/>
            <w:noWrap/>
            <w:hideMark/>
          </w:tcPr>
          <w:p w14:paraId="4FD664E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6.65</w:t>
            </w:r>
          </w:p>
        </w:tc>
        <w:tc>
          <w:tcPr>
            <w:tcW w:w="1104" w:type="dxa"/>
            <w:noWrap/>
            <w:hideMark/>
          </w:tcPr>
          <w:p w14:paraId="6EE97CC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5.22</w:t>
            </w:r>
          </w:p>
        </w:tc>
        <w:tc>
          <w:tcPr>
            <w:tcW w:w="1162" w:type="dxa"/>
            <w:noWrap/>
            <w:hideMark/>
          </w:tcPr>
          <w:p w14:paraId="0E64EB7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6.08</w:t>
            </w:r>
          </w:p>
        </w:tc>
      </w:tr>
      <w:tr w:rsidR="00973A32" w:rsidRPr="00973A32" w14:paraId="49242552" w14:textId="77777777" w:rsidTr="00973A32">
        <w:trPr>
          <w:trHeight w:val="300"/>
        </w:trPr>
        <w:tc>
          <w:tcPr>
            <w:tcW w:w="3774" w:type="dxa"/>
            <w:noWrap/>
            <w:hideMark/>
          </w:tcPr>
          <w:p w14:paraId="1CA190AD"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Office of State Inspector General</w:t>
            </w:r>
          </w:p>
        </w:tc>
        <w:tc>
          <w:tcPr>
            <w:tcW w:w="960" w:type="dxa"/>
            <w:noWrap/>
            <w:hideMark/>
          </w:tcPr>
          <w:p w14:paraId="7D37FF2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5.77</w:t>
            </w:r>
          </w:p>
        </w:tc>
        <w:tc>
          <w:tcPr>
            <w:tcW w:w="1080" w:type="dxa"/>
            <w:noWrap/>
            <w:hideMark/>
          </w:tcPr>
          <w:p w14:paraId="6844983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7</w:t>
            </w:r>
          </w:p>
        </w:tc>
        <w:tc>
          <w:tcPr>
            <w:tcW w:w="1020" w:type="dxa"/>
            <w:noWrap/>
            <w:hideMark/>
          </w:tcPr>
          <w:p w14:paraId="2A906B65"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6.86</w:t>
            </w:r>
          </w:p>
        </w:tc>
        <w:tc>
          <w:tcPr>
            <w:tcW w:w="1104" w:type="dxa"/>
            <w:noWrap/>
            <w:hideMark/>
          </w:tcPr>
          <w:p w14:paraId="0174CD60"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7</w:t>
            </w:r>
          </w:p>
        </w:tc>
        <w:tc>
          <w:tcPr>
            <w:tcW w:w="1162" w:type="dxa"/>
            <w:noWrap/>
            <w:hideMark/>
          </w:tcPr>
          <w:p w14:paraId="78F77A84"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5.68</w:t>
            </w:r>
          </w:p>
        </w:tc>
      </w:tr>
      <w:tr w:rsidR="00973A32" w:rsidRPr="00973A32" w14:paraId="3493E804" w14:textId="77777777" w:rsidTr="00973A32">
        <w:trPr>
          <w:trHeight w:val="300"/>
        </w:trPr>
        <w:tc>
          <w:tcPr>
            <w:tcW w:w="3774" w:type="dxa"/>
            <w:noWrap/>
            <w:hideMark/>
          </w:tcPr>
          <w:p w14:paraId="0AB89A7A"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Veterans Services</w:t>
            </w:r>
          </w:p>
        </w:tc>
        <w:tc>
          <w:tcPr>
            <w:tcW w:w="960" w:type="dxa"/>
            <w:noWrap/>
            <w:hideMark/>
          </w:tcPr>
          <w:p w14:paraId="670AEC1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6.27</w:t>
            </w:r>
          </w:p>
        </w:tc>
        <w:tc>
          <w:tcPr>
            <w:tcW w:w="1080" w:type="dxa"/>
            <w:noWrap/>
            <w:hideMark/>
          </w:tcPr>
          <w:p w14:paraId="290F5FC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7</w:t>
            </w:r>
          </w:p>
        </w:tc>
        <w:tc>
          <w:tcPr>
            <w:tcW w:w="1020" w:type="dxa"/>
            <w:noWrap/>
            <w:hideMark/>
          </w:tcPr>
          <w:p w14:paraId="4DD95A8F"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6.54</w:t>
            </w:r>
          </w:p>
        </w:tc>
        <w:tc>
          <w:tcPr>
            <w:tcW w:w="1104" w:type="dxa"/>
            <w:noWrap/>
            <w:hideMark/>
          </w:tcPr>
          <w:p w14:paraId="26740BEC"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7</w:t>
            </w:r>
          </w:p>
        </w:tc>
        <w:tc>
          <w:tcPr>
            <w:tcW w:w="1162" w:type="dxa"/>
            <w:noWrap/>
            <w:hideMark/>
          </w:tcPr>
          <w:p w14:paraId="4CFA2CC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6.8</w:t>
            </w:r>
          </w:p>
        </w:tc>
      </w:tr>
      <w:tr w:rsidR="00973A32" w:rsidRPr="00973A32" w14:paraId="633E7595" w14:textId="77777777" w:rsidTr="00973A32">
        <w:trPr>
          <w:trHeight w:val="300"/>
        </w:trPr>
        <w:tc>
          <w:tcPr>
            <w:tcW w:w="3774" w:type="dxa"/>
            <w:noWrap/>
            <w:hideMark/>
          </w:tcPr>
          <w:p w14:paraId="2938BD9E"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Virginia Information Technologies Agency</w:t>
            </w:r>
          </w:p>
        </w:tc>
        <w:tc>
          <w:tcPr>
            <w:tcW w:w="960" w:type="dxa"/>
            <w:noWrap/>
            <w:hideMark/>
          </w:tcPr>
          <w:p w14:paraId="00CF19EA"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6.87</w:t>
            </w:r>
          </w:p>
        </w:tc>
        <w:tc>
          <w:tcPr>
            <w:tcW w:w="1080" w:type="dxa"/>
            <w:noWrap/>
            <w:hideMark/>
          </w:tcPr>
          <w:p w14:paraId="2421CC60"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6.47</w:t>
            </w:r>
          </w:p>
        </w:tc>
        <w:tc>
          <w:tcPr>
            <w:tcW w:w="1020" w:type="dxa"/>
            <w:noWrap/>
            <w:hideMark/>
          </w:tcPr>
          <w:p w14:paraId="3FAA325A"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6.58</w:t>
            </w:r>
          </w:p>
        </w:tc>
        <w:tc>
          <w:tcPr>
            <w:tcW w:w="1104" w:type="dxa"/>
            <w:noWrap/>
            <w:hideMark/>
          </w:tcPr>
          <w:p w14:paraId="7F5A83D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7</w:t>
            </w:r>
          </w:p>
        </w:tc>
        <w:tc>
          <w:tcPr>
            <w:tcW w:w="1162" w:type="dxa"/>
            <w:noWrap/>
            <w:hideMark/>
          </w:tcPr>
          <w:p w14:paraId="4E81C3B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6.89</w:t>
            </w:r>
          </w:p>
        </w:tc>
      </w:tr>
      <w:tr w:rsidR="00973A32" w:rsidRPr="00973A32" w14:paraId="60D771EA" w14:textId="77777777" w:rsidTr="00973A32">
        <w:trPr>
          <w:trHeight w:val="300"/>
        </w:trPr>
        <w:tc>
          <w:tcPr>
            <w:tcW w:w="3774" w:type="dxa"/>
            <w:noWrap/>
            <w:hideMark/>
          </w:tcPr>
          <w:p w14:paraId="6E31CC1D"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Accounts</w:t>
            </w:r>
          </w:p>
        </w:tc>
        <w:tc>
          <w:tcPr>
            <w:tcW w:w="960" w:type="dxa"/>
            <w:noWrap/>
            <w:hideMark/>
          </w:tcPr>
          <w:p w14:paraId="07705F7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7</w:t>
            </w:r>
          </w:p>
        </w:tc>
        <w:tc>
          <w:tcPr>
            <w:tcW w:w="1080" w:type="dxa"/>
            <w:noWrap/>
            <w:hideMark/>
          </w:tcPr>
          <w:p w14:paraId="7D0AED2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6.91</w:t>
            </w:r>
          </w:p>
        </w:tc>
        <w:tc>
          <w:tcPr>
            <w:tcW w:w="1020" w:type="dxa"/>
            <w:noWrap/>
            <w:hideMark/>
          </w:tcPr>
          <w:p w14:paraId="2738253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6.85</w:t>
            </w:r>
          </w:p>
        </w:tc>
        <w:tc>
          <w:tcPr>
            <w:tcW w:w="1104" w:type="dxa"/>
            <w:noWrap/>
            <w:hideMark/>
          </w:tcPr>
          <w:p w14:paraId="2FF79B99"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6.22</w:t>
            </w:r>
          </w:p>
        </w:tc>
        <w:tc>
          <w:tcPr>
            <w:tcW w:w="1162" w:type="dxa"/>
            <w:noWrap/>
            <w:hideMark/>
          </w:tcPr>
          <w:p w14:paraId="49190B6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6.4</w:t>
            </w:r>
          </w:p>
        </w:tc>
      </w:tr>
      <w:tr w:rsidR="00973A32" w:rsidRPr="00973A32" w14:paraId="73F10A10" w14:textId="77777777" w:rsidTr="00973A32">
        <w:trPr>
          <w:trHeight w:val="300"/>
        </w:trPr>
        <w:tc>
          <w:tcPr>
            <w:tcW w:w="3774" w:type="dxa"/>
            <w:noWrap/>
            <w:hideMark/>
          </w:tcPr>
          <w:p w14:paraId="443A15BE"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Virginia State University</w:t>
            </w:r>
          </w:p>
        </w:tc>
        <w:tc>
          <w:tcPr>
            <w:tcW w:w="960" w:type="dxa"/>
            <w:noWrap/>
            <w:hideMark/>
          </w:tcPr>
          <w:p w14:paraId="0360FDE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6.87</w:t>
            </w:r>
          </w:p>
        </w:tc>
        <w:tc>
          <w:tcPr>
            <w:tcW w:w="1080" w:type="dxa"/>
            <w:noWrap/>
            <w:hideMark/>
          </w:tcPr>
          <w:p w14:paraId="3AF965A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6.87</w:t>
            </w:r>
          </w:p>
        </w:tc>
        <w:tc>
          <w:tcPr>
            <w:tcW w:w="1020" w:type="dxa"/>
            <w:noWrap/>
            <w:hideMark/>
          </w:tcPr>
          <w:p w14:paraId="0CBC9BBF"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6.75</w:t>
            </w:r>
          </w:p>
        </w:tc>
        <w:tc>
          <w:tcPr>
            <w:tcW w:w="1104" w:type="dxa"/>
            <w:noWrap/>
            <w:hideMark/>
          </w:tcPr>
          <w:p w14:paraId="3AAFA21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7</w:t>
            </w:r>
          </w:p>
        </w:tc>
        <w:tc>
          <w:tcPr>
            <w:tcW w:w="1162" w:type="dxa"/>
            <w:noWrap/>
            <w:hideMark/>
          </w:tcPr>
          <w:p w14:paraId="7EEA0C91"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6.44</w:t>
            </w:r>
          </w:p>
        </w:tc>
      </w:tr>
      <w:tr w:rsidR="00973A32" w:rsidRPr="00973A32" w14:paraId="1B76550C" w14:textId="77777777" w:rsidTr="00973A32">
        <w:trPr>
          <w:trHeight w:val="300"/>
        </w:trPr>
        <w:tc>
          <w:tcPr>
            <w:tcW w:w="3774" w:type="dxa"/>
            <w:noWrap/>
            <w:hideMark/>
          </w:tcPr>
          <w:p w14:paraId="011BFD87"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Conservation and Recreation</w:t>
            </w:r>
          </w:p>
        </w:tc>
        <w:tc>
          <w:tcPr>
            <w:tcW w:w="960" w:type="dxa"/>
            <w:noWrap/>
            <w:hideMark/>
          </w:tcPr>
          <w:p w14:paraId="29D9E54F"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7</w:t>
            </w:r>
          </w:p>
        </w:tc>
        <w:tc>
          <w:tcPr>
            <w:tcW w:w="1080" w:type="dxa"/>
            <w:noWrap/>
            <w:hideMark/>
          </w:tcPr>
          <w:p w14:paraId="273EC332"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6.83</w:t>
            </w:r>
          </w:p>
        </w:tc>
        <w:tc>
          <w:tcPr>
            <w:tcW w:w="1020" w:type="dxa"/>
            <w:noWrap/>
            <w:hideMark/>
          </w:tcPr>
          <w:p w14:paraId="2DD31CAF"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6.78</w:t>
            </w:r>
          </w:p>
        </w:tc>
        <w:tc>
          <w:tcPr>
            <w:tcW w:w="1104" w:type="dxa"/>
            <w:noWrap/>
            <w:hideMark/>
          </w:tcPr>
          <w:p w14:paraId="17003AA8"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7</w:t>
            </w:r>
          </w:p>
        </w:tc>
        <w:tc>
          <w:tcPr>
            <w:tcW w:w="1162" w:type="dxa"/>
            <w:noWrap/>
            <w:hideMark/>
          </w:tcPr>
          <w:p w14:paraId="7ED70F63"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6.6</w:t>
            </w:r>
          </w:p>
        </w:tc>
      </w:tr>
      <w:tr w:rsidR="00973A32" w:rsidRPr="00973A32" w14:paraId="0DC3B387" w14:textId="77777777" w:rsidTr="00973A32">
        <w:trPr>
          <w:trHeight w:val="300"/>
        </w:trPr>
        <w:tc>
          <w:tcPr>
            <w:tcW w:w="3774" w:type="dxa"/>
            <w:noWrap/>
            <w:hideMark/>
          </w:tcPr>
          <w:p w14:paraId="25A963D6" w14:textId="77777777" w:rsidR="00973A32" w:rsidRPr="00973A32" w:rsidRDefault="00973A32" w:rsidP="00973A32">
            <w:pPr>
              <w:rPr>
                <w:rFonts w:ascii="Calibri" w:hAnsi="Calibri" w:cs="Calibri"/>
                <w:sz w:val="22"/>
                <w:szCs w:val="22"/>
              </w:rPr>
            </w:pPr>
            <w:r w:rsidRPr="00973A32">
              <w:rPr>
                <w:rFonts w:ascii="Calibri" w:hAnsi="Calibri" w:cs="Calibri"/>
                <w:sz w:val="22"/>
                <w:szCs w:val="22"/>
              </w:rPr>
              <w:t>Department of Small Business and Supplier Diversity</w:t>
            </w:r>
          </w:p>
        </w:tc>
        <w:tc>
          <w:tcPr>
            <w:tcW w:w="960" w:type="dxa"/>
            <w:noWrap/>
            <w:hideMark/>
          </w:tcPr>
          <w:p w14:paraId="6E67BE3D"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7</w:t>
            </w:r>
          </w:p>
        </w:tc>
        <w:tc>
          <w:tcPr>
            <w:tcW w:w="1080" w:type="dxa"/>
            <w:noWrap/>
            <w:hideMark/>
          </w:tcPr>
          <w:p w14:paraId="1CFA1E8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6.97</w:t>
            </w:r>
          </w:p>
        </w:tc>
        <w:tc>
          <w:tcPr>
            <w:tcW w:w="1020" w:type="dxa"/>
            <w:noWrap/>
            <w:hideMark/>
          </w:tcPr>
          <w:p w14:paraId="4271D7F7"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6.99</w:t>
            </w:r>
          </w:p>
        </w:tc>
        <w:tc>
          <w:tcPr>
            <w:tcW w:w="1104" w:type="dxa"/>
            <w:noWrap/>
            <w:hideMark/>
          </w:tcPr>
          <w:p w14:paraId="2476FE0B"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7</w:t>
            </w:r>
          </w:p>
        </w:tc>
        <w:tc>
          <w:tcPr>
            <w:tcW w:w="1162" w:type="dxa"/>
            <w:noWrap/>
            <w:hideMark/>
          </w:tcPr>
          <w:p w14:paraId="03FCA146" w14:textId="77777777" w:rsidR="00973A32" w:rsidRPr="00973A32" w:rsidRDefault="00973A32" w:rsidP="00541000">
            <w:pPr>
              <w:jc w:val="center"/>
              <w:rPr>
                <w:rFonts w:ascii="Calibri" w:hAnsi="Calibri" w:cs="Calibri"/>
                <w:sz w:val="22"/>
                <w:szCs w:val="22"/>
              </w:rPr>
            </w:pPr>
            <w:r w:rsidRPr="00973A32">
              <w:rPr>
                <w:rFonts w:ascii="Calibri" w:hAnsi="Calibri" w:cs="Calibri"/>
                <w:sz w:val="22"/>
                <w:szCs w:val="22"/>
              </w:rPr>
              <w:t>7</w:t>
            </w:r>
          </w:p>
        </w:tc>
      </w:tr>
    </w:tbl>
    <w:p w14:paraId="0B73DE67" w14:textId="2B012B7F" w:rsidR="00C706D3" w:rsidRPr="00084E4F" w:rsidRDefault="00C706D3" w:rsidP="004F1912">
      <w:pPr>
        <w:rPr>
          <w:rFonts w:ascii="Verdana" w:hAnsi="Verdana"/>
          <w:sz w:val="22"/>
          <w:szCs w:val="22"/>
        </w:rPr>
      </w:pPr>
    </w:p>
    <w:sectPr w:rsidR="00C706D3" w:rsidRPr="00084E4F" w:rsidSect="003137BB">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634E0" w14:textId="77777777" w:rsidR="004B53EA" w:rsidRDefault="004B53EA" w:rsidP="00795367">
      <w:r>
        <w:separator/>
      </w:r>
    </w:p>
  </w:endnote>
  <w:endnote w:type="continuationSeparator" w:id="0">
    <w:p w14:paraId="4FAD8774" w14:textId="77777777" w:rsidR="004B53EA" w:rsidRDefault="004B53EA" w:rsidP="0079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Serif">
    <w:altName w:val="Times New Roman"/>
    <w:charset w:val="00"/>
    <w:family w:val="auto"/>
    <w:pitch w:val="default"/>
  </w:font>
  <w:font w:name="Veranda">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782844"/>
      <w:docPartObj>
        <w:docPartGallery w:val="Page Numbers (Bottom of Page)"/>
        <w:docPartUnique/>
      </w:docPartObj>
    </w:sdtPr>
    <w:sdtEndPr>
      <w:rPr>
        <w:rFonts w:ascii="Verdana" w:hAnsi="Verdana"/>
        <w:sz w:val="20"/>
      </w:rPr>
    </w:sdtEndPr>
    <w:sdtContent>
      <w:p w14:paraId="0B2836B5" w14:textId="54B53BEC" w:rsidR="004B53EA" w:rsidRPr="00707209" w:rsidRDefault="004B53EA">
        <w:pPr>
          <w:pStyle w:val="Footer"/>
          <w:jc w:val="center"/>
          <w:rPr>
            <w:rFonts w:ascii="Verdana" w:hAnsi="Verdana"/>
            <w:sz w:val="20"/>
          </w:rPr>
        </w:pPr>
        <w:r w:rsidRPr="00707209">
          <w:rPr>
            <w:rFonts w:ascii="Verdana" w:hAnsi="Verdana"/>
            <w:sz w:val="20"/>
          </w:rPr>
          <w:fldChar w:fldCharType="begin"/>
        </w:r>
        <w:r w:rsidRPr="00707209">
          <w:rPr>
            <w:rFonts w:ascii="Verdana" w:hAnsi="Verdana"/>
            <w:sz w:val="20"/>
          </w:rPr>
          <w:instrText xml:space="preserve"> PAGE   \* MERGEFORMAT </w:instrText>
        </w:r>
        <w:r w:rsidRPr="00707209">
          <w:rPr>
            <w:rFonts w:ascii="Verdana" w:hAnsi="Verdana"/>
            <w:sz w:val="20"/>
          </w:rPr>
          <w:fldChar w:fldCharType="separate"/>
        </w:r>
        <w:r w:rsidR="00165B18">
          <w:rPr>
            <w:rFonts w:ascii="Verdana" w:hAnsi="Verdana"/>
            <w:noProof/>
            <w:sz w:val="20"/>
          </w:rPr>
          <w:t>3</w:t>
        </w:r>
        <w:r w:rsidRPr="00707209">
          <w:rPr>
            <w:rFonts w:ascii="Verdana" w:hAnsi="Verdana"/>
            <w:noProof/>
            <w:sz w:val="20"/>
          </w:rPr>
          <w:fldChar w:fldCharType="end"/>
        </w:r>
      </w:p>
    </w:sdtContent>
  </w:sdt>
  <w:p w14:paraId="20C77654" w14:textId="77777777" w:rsidR="004B53EA" w:rsidRPr="00AF1C43" w:rsidRDefault="004B53EA" w:rsidP="00680041">
    <w:pPr>
      <w:pStyle w:val="Footer"/>
      <w:ind w:right="360"/>
      <w:jc w:val="center"/>
      <w:rPr>
        <w:b/>
        <w:color w:val="auto"/>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rPr>
      <w:id w:val="2118090880"/>
      <w:docPartObj>
        <w:docPartGallery w:val="Page Numbers (Bottom of Page)"/>
        <w:docPartUnique/>
      </w:docPartObj>
    </w:sdtPr>
    <w:sdtEndPr>
      <w:rPr>
        <w:noProof/>
      </w:rPr>
    </w:sdtEndPr>
    <w:sdtContent>
      <w:p w14:paraId="74771182" w14:textId="024B6FBA" w:rsidR="004B53EA" w:rsidRPr="00707209" w:rsidRDefault="004B53EA">
        <w:pPr>
          <w:pStyle w:val="Footer"/>
          <w:jc w:val="center"/>
          <w:rPr>
            <w:rFonts w:ascii="Verdana" w:hAnsi="Verdana"/>
            <w:sz w:val="20"/>
          </w:rPr>
        </w:pPr>
        <w:r w:rsidRPr="00707209">
          <w:rPr>
            <w:rFonts w:ascii="Verdana" w:hAnsi="Verdana"/>
            <w:sz w:val="20"/>
          </w:rPr>
          <w:fldChar w:fldCharType="begin"/>
        </w:r>
        <w:r w:rsidRPr="00707209">
          <w:rPr>
            <w:rFonts w:ascii="Verdana" w:hAnsi="Verdana"/>
            <w:sz w:val="20"/>
          </w:rPr>
          <w:instrText xml:space="preserve"> PAGE   \* MERGEFORMAT </w:instrText>
        </w:r>
        <w:r w:rsidRPr="00707209">
          <w:rPr>
            <w:rFonts w:ascii="Verdana" w:hAnsi="Verdana"/>
            <w:sz w:val="20"/>
          </w:rPr>
          <w:fldChar w:fldCharType="separate"/>
        </w:r>
        <w:r>
          <w:rPr>
            <w:rFonts w:ascii="Verdana" w:hAnsi="Verdana"/>
            <w:noProof/>
            <w:sz w:val="20"/>
          </w:rPr>
          <w:t>5</w:t>
        </w:r>
        <w:r w:rsidRPr="00707209">
          <w:rPr>
            <w:rFonts w:ascii="Verdana" w:hAnsi="Verdana"/>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776459"/>
      <w:docPartObj>
        <w:docPartGallery w:val="Page Numbers (Bottom of Page)"/>
        <w:docPartUnique/>
      </w:docPartObj>
    </w:sdtPr>
    <w:sdtEndPr>
      <w:rPr>
        <w:rFonts w:ascii="Verdana" w:hAnsi="Verdana"/>
        <w:sz w:val="20"/>
      </w:rPr>
    </w:sdtEndPr>
    <w:sdtContent>
      <w:p w14:paraId="04CEF7BB" w14:textId="4AB3BFC4" w:rsidR="004B53EA" w:rsidRPr="00707209" w:rsidRDefault="004B53EA">
        <w:pPr>
          <w:pStyle w:val="Footer"/>
          <w:jc w:val="center"/>
          <w:rPr>
            <w:rFonts w:ascii="Verdana" w:hAnsi="Verdana"/>
            <w:sz w:val="20"/>
          </w:rPr>
        </w:pPr>
        <w:r w:rsidRPr="00707209">
          <w:rPr>
            <w:rFonts w:ascii="Verdana" w:hAnsi="Verdana"/>
            <w:sz w:val="20"/>
          </w:rPr>
          <w:fldChar w:fldCharType="begin"/>
        </w:r>
        <w:r w:rsidRPr="00707209">
          <w:rPr>
            <w:rFonts w:ascii="Verdana" w:hAnsi="Verdana"/>
            <w:sz w:val="20"/>
          </w:rPr>
          <w:instrText xml:space="preserve"> PAGE   \* MERGEFORMAT </w:instrText>
        </w:r>
        <w:r w:rsidRPr="00707209">
          <w:rPr>
            <w:rFonts w:ascii="Verdana" w:hAnsi="Verdana"/>
            <w:sz w:val="20"/>
          </w:rPr>
          <w:fldChar w:fldCharType="separate"/>
        </w:r>
        <w:r w:rsidR="00C64B04">
          <w:rPr>
            <w:rFonts w:ascii="Verdana" w:hAnsi="Verdana"/>
            <w:noProof/>
            <w:sz w:val="20"/>
          </w:rPr>
          <w:t>42</w:t>
        </w:r>
        <w:r w:rsidRPr="00707209">
          <w:rPr>
            <w:rFonts w:ascii="Verdana" w:hAnsi="Verdana"/>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4FE9F" w14:textId="77777777" w:rsidR="004B53EA" w:rsidRDefault="004B53EA" w:rsidP="00795367">
      <w:r>
        <w:separator/>
      </w:r>
    </w:p>
  </w:footnote>
  <w:footnote w:type="continuationSeparator" w:id="0">
    <w:p w14:paraId="4A4D14E1" w14:textId="77777777" w:rsidR="004B53EA" w:rsidRDefault="004B53EA" w:rsidP="00795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AEF33" w14:textId="1D055F2A" w:rsidR="004B53EA" w:rsidRDefault="004B53EA">
    <w:pPr>
      <w:pStyle w:val="Header"/>
      <w:tabs>
        <w:tab w:val="clear" w:pos="8640"/>
        <w:tab w:val="right" w:pos="10260"/>
      </w:tabs>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E23C3" w14:textId="77777777" w:rsidR="004B53EA" w:rsidRDefault="004B53EA" w:rsidP="007C604D">
    <w:pPr>
      <w:pStyle w:val="Heading1"/>
      <w:rPr>
        <w:rFonts w:ascii="Verdana" w:hAnsi="Verdana"/>
        <w:i/>
        <w:sz w:val="28"/>
      </w:rPr>
    </w:pPr>
    <w:r>
      <w:rPr>
        <w:noProof/>
      </w:rPr>
      <w:drawing>
        <wp:inline distT="0" distB="0" distL="0" distR="0" wp14:anchorId="7F7F67D3" wp14:editId="55BEF553">
          <wp:extent cx="5943600" cy="767715"/>
          <wp:effectExtent l="19050" t="0" r="0" b="0"/>
          <wp:docPr id="700" name="Picture 700"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pic:cNvPicPr>
                    <a:picLocks noChangeAspect="1" noChangeArrowheads="1"/>
                  </pic:cNvPicPr>
                </pic:nvPicPr>
                <pic:blipFill>
                  <a:blip r:embed="rId1" cstate="print"/>
                  <a:srcRect/>
                  <a:stretch>
                    <a:fillRect/>
                  </a:stretch>
                </pic:blipFill>
                <pic:spPr bwMode="auto">
                  <a:xfrm>
                    <a:off x="0" y="0"/>
                    <a:ext cx="5943600" cy="767715"/>
                  </a:xfrm>
                  <a:prstGeom prst="rect">
                    <a:avLst/>
                  </a:prstGeom>
                  <a:noFill/>
                  <a:ln w="9525">
                    <a:noFill/>
                    <a:miter lim="800000"/>
                    <a:headEnd/>
                    <a:tailEnd/>
                  </a:ln>
                </pic:spPr>
              </pic:pic>
            </a:graphicData>
          </a:graphic>
        </wp:inline>
      </w:drawing>
    </w:r>
  </w:p>
  <w:p w14:paraId="426ED78A" w14:textId="62E74D00" w:rsidR="004B53EA" w:rsidRDefault="004B53EA">
    <w:pPr>
      <w:pStyle w:val="Header"/>
      <w:rPr>
        <w:rFonts w:ascii="Verdana" w:hAnsi="Verdana"/>
        <w:b/>
        <w:bCs/>
        <w:i/>
        <w:kern w:val="32"/>
        <w:sz w:val="28"/>
        <w:szCs w:val="32"/>
      </w:rPr>
    </w:pPr>
    <w:r>
      <w:rPr>
        <w:rFonts w:ascii="Verdana" w:hAnsi="Verdana"/>
        <w:b/>
        <w:bCs/>
        <w:i/>
        <w:kern w:val="32"/>
        <w:sz w:val="28"/>
        <w:szCs w:val="32"/>
      </w:rPr>
      <w:t xml:space="preserve">2017 Commonwealth of Virginia Annual Report </w:t>
    </w:r>
  </w:p>
  <w:p w14:paraId="314FB1F5" w14:textId="77777777" w:rsidR="004B53EA" w:rsidRPr="00A0502B" w:rsidRDefault="004B53EA">
    <w:pPr>
      <w:pStyle w:val="Header"/>
      <w:rPr>
        <w:rFonts w:ascii="Verdana" w:hAnsi="Verdana"/>
        <w:b/>
        <w:bCs/>
        <w:i/>
        <w:kern w:val="32"/>
        <w:sz w:val="28"/>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BF7A2" w14:textId="77777777" w:rsidR="004B53EA" w:rsidRDefault="004B53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89D68" w14:textId="77777777" w:rsidR="004B53EA" w:rsidRDefault="004B53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A4B00" w14:textId="77777777" w:rsidR="004B53EA" w:rsidRDefault="004B53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D24"/>
    <w:multiLevelType w:val="hybridMultilevel"/>
    <w:tmpl w:val="ACDA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5757B"/>
    <w:multiLevelType w:val="hybridMultilevel"/>
    <w:tmpl w:val="11F67F20"/>
    <w:lvl w:ilvl="0" w:tplc="410E4B4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05495"/>
    <w:multiLevelType w:val="hybridMultilevel"/>
    <w:tmpl w:val="1F04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30147"/>
    <w:multiLevelType w:val="multilevel"/>
    <w:tmpl w:val="3D1003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874F7"/>
    <w:multiLevelType w:val="hybridMultilevel"/>
    <w:tmpl w:val="15BA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C21FA"/>
    <w:multiLevelType w:val="hybridMultilevel"/>
    <w:tmpl w:val="56AA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746C0"/>
    <w:multiLevelType w:val="hybridMultilevel"/>
    <w:tmpl w:val="E64E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E6CAD"/>
    <w:multiLevelType w:val="hybridMultilevel"/>
    <w:tmpl w:val="E862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4D1676"/>
    <w:multiLevelType w:val="hybridMultilevel"/>
    <w:tmpl w:val="A354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25D6B"/>
    <w:multiLevelType w:val="hybridMultilevel"/>
    <w:tmpl w:val="24726A72"/>
    <w:lvl w:ilvl="0" w:tplc="04090001">
      <w:start w:val="1"/>
      <w:numFmt w:val="bullet"/>
      <w:lvlText w:val=""/>
      <w:lvlJc w:val="left"/>
      <w:pPr>
        <w:ind w:left="720" w:hanging="360"/>
      </w:pPr>
      <w:rPr>
        <w:rFonts w:ascii="Symbol" w:hAnsi="Symbol" w:hint="default"/>
      </w:rPr>
    </w:lvl>
    <w:lvl w:ilvl="1" w:tplc="37C6FE04">
      <w:numFmt w:val="bullet"/>
      <w:lvlText w:val="•"/>
      <w:lvlJc w:val="left"/>
      <w:pPr>
        <w:ind w:left="1800" w:hanging="72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AA3B9F"/>
    <w:multiLevelType w:val="hybridMultilevel"/>
    <w:tmpl w:val="9CA63A28"/>
    <w:lvl w:ilvl="0" w:tplc="AEA0D81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2EC61406"/>
    <w:multiLevelType w:val="hybridMultilevel"/>
    <w:tmpl w:val="C03E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C6AE7"/>
    <w:multiLevelType w:val="hybridMultilevel"/>
    <w:tmpl w:val="CB6A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F51951"/>
    <w:multiLevelType w:val="hybridMultilevel"/>
    <w:tmpl w:val="DE144C12"/>
    <w:lvl w:ilvl="0" w:tplc="F1469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3770F5"/>
    <w:multiLevelType w:val="hybridMultilevel"/>
    <w:tmpl w:val="61F0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853C99"/>
    <w:multiLevelType w:val="hybridMultilevel"/>
    <w:tmpl w:val="E8C4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E61A5A"/>
    <w:multiLevelType w:val="hybridMultilevel"/>
    <w:tmpl w:val="69323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042E77"/>
    <w:multiLevelType w:val="hybridMultilevel"/>
    <w:tmpl w:val="ADD6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FF65D9"/>
    <w:multiLevelType w:val="hybridMultilevel"/>
    <w:tmpl w:val="F044E276"/>
    <w:lvl w:ilvl="0" w:tplc="5DB4540A">
      <w:start w:val="1"/>
      <w:numFmt w:val="bullet"/>
      <w:lvlText w:val="•"/>
      <w:lvlJc w:val="left"/>
      <w:pPr>
        <w:tabs>
          <w:tab w:val="num" w:pos="720"/>
        </w:tabs>
        <w:ind w:left="720" w:hanging="360"/>
      </w:pPr>
      <w:rPr>
        <w:rFonts w:ascii="Times New Roman" w:hAnsi="Times New Roman" w:hint="default"/>
      </w:rPr>
    </w:lvl>
    <w:lvl w:ilvl="1" w:tplc="7D966FC4" w:tentative="1">
      <w:start w:val="1"/>
      <w:numFmt w:val="bullet"/>
      <w:lvlText w:val="•"/>
      <w:lvlJc w:val="left"/>
      <w:pPr>
        <w:tabs>
          <w:tab w:val="num" w:pos="1440"/>
        </w:tabs>
        <w:ind w:left="1440" w:hanging="360"/>
      </w:pPr>
      <w:rPr>
        <w:rFonts w:ascii="Times New Roman" w:hAnsi="Times New Roman" w:hint="default"/>
      </w:rPr>
    </w:lvl>
    <w:lvl w:ilvl="2" w:tplc="4A807A6C" w:tentative="1">
      <w:start w:val="1"/>
      <w:numFmt w:val="bullet"/>
      <w:lvlText w:val="•"/>
      <w:lvlJc w:val="left"/>
      <w:pPr>
        <w:tabs>
          <w:tab w:val="num" w:pos="2160"/>
        </w:tabs>
        <w:ind w:left="2160" w:hanging="360"/>
      </w:pPr>
      <w:rPr>
        <w:rFonts w:ascii="Times New Roman" w:hAnsi="Times New Roman" w:hint="default"/>
      </w:rPr>
    </w:lvl>
    <w:lvl w:ilvl="3" w:tplc="06E4927A" w:tentative="1">
      <w:start w:val="1"/>
      <w:numFmt w:val="bullet"/>
      <w:lvlText w:val="•"/>
      <w:lvlJc w:val="left"/>
      <w:pPr>
        <w:tabs>
          <w:tab w:val="num" w:pos="2880"/>
        </w:tabs>
        <w:ind w:left="2880" w:hanging="360"/>
      </w:pPr>
      <w:rPr>
        <w:rFonts w:ascii="Times New Roman" w:hAnsi="Times New Roman" w:hint="default"/>
      </w:rPr>
    </w:lvl>
    <w:lvl w:ilvl="4" w:tplc="DCA09840" w:tentative="1">
      <w:start w:val="1"/>
      <w:numFmt w:val="bullet"/>
      <w:lvlText w:val="•"/>
      <w:lvlJc w:val="left"/>
      <w:pPr>
        <w:tabs>
          <w:tab w:val="num" w:pos="3600"/>
        </w:tabs>
        <w:ind w:left="3600" w:hanging="360"/>
      </w:pPr>
      <w:rPr>
        <w:rFonts w:ascii="Times New Roman" w:hAnsi="Times New Roman" w:hint="default"/>
      </w:rPr>
    </w:lvl>
    <w:lvl w:ilvl="5" w:tplc="5F2204B0" w:tentative="1">
      <w:start w:val="1"/>
      <w:numFmt w:val="bullet"/>
      <w:lvlText w:val="•"/>
      <w:lvlJc w:val="left"/>
      <w:pPr>
        <w:tabs>
          <w:tab w:val="num" w:pos="4320"/>
        </w:tabs>
        <w:ind w:left="4320" w:hanging="360"/>
      </w:pPr>
      <w:rPr>
        <w:rFonts w:ascii="Times New Roman" w:hAnsi="Times New Roman" w:hint="default"/>
      </w:rPr>
    </w:lvl>
    <w:lvl w:ilvl="6" w:tplc="0F92C670" w:tentative="1">
      <w:start w:val="1"/>
      <w:numFmt w:val="bullet"/>
      <w:lvlText w:val="•"/>
      <w:lvlJc w:val="left"/>
      <w:pPr>
        <w:tabs>
          <w:tab w:val="num" w:pos="5040"/>
        </w:tabs>
        <w:ind w:left="5040" w:hanging="360"/>
      </w:pPr>
      <w:rPr>
        <w:rFonts w:ascii="Times New Roman" w:hAnsi="Times New Roman" w:hint="default"/>
      </w:rPr>
    </w:lvl>
    <w:lvl w:ilvl="7" w:tplc="732CC106" w:tentative="1">
      <w:start w:val="1"/>
      <w:numFmt w:val="bullet"/>
      <w:lvlText w:val="•"/>
      <w:lvlJc w:val="left"/>
      <w:pPr>
        <w:tabs>
          <w:tab w:val="num" w:pos="5760"/>
        </w:tabs>
        <w:ind w:left="5760" w:hanging="360"/>
      </w:pPr>
      <w:rPr>
        <w:rFonts w:ascii="Times New Roman" w:hAnsi="Times New Roman" w:hint="default"/>
      </w:rPr>
    </w:lvl>
    <w:lvl w:ilvl="8" w:tplc="9C96A03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61F3C49"/>
    <w:multiLevelType w:val="hybridMultilevel"/>
    <w:tmpl w:val="0388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EE6835"/>
    <w:multiLevelType w:val="hybridMultilevel"/>
    <w:tmpl w:val="093A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326A55"/>
    <w:multiLevelType w:val="hybridMultilevel"/>
    <w:tmpl w:val="F6082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1971F0A"/>
    <w:multiLevelType w:val="hybridMultilevel"/>
    <w:tmpl w:val="164CDB3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AA5E0E"/>
    <w:multiLevelType w:val="hybridMultilevel"/>
    <w:tmpl w:val="EF60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E82F72"/>
    <w:multiLevelType w:val="hybridMultilevel"/>
    <w:tmpl w:val="B258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613DB5"/>
    <w:multiLevelType w:val="hybridMultilevel"/>
    <w:tmpl w:val="AC222D12"/>
    <w:lvl w:ilvl="0" w:tplc="B78C192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B9168A"/>
    <w:multiLevelType w:val="hybridMultilevel"/>
    <w:tmpl w:val="6CE888DC"/>
    <w:lvl w:ilvl="0" w:tplc="95C2CED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893A92"/>
    <w:multiLevelType w:val="hybridMultilevel"/>
    <w:tmpl w:val="6A30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0213A1"/>
    <w:multiLevelType w:val="hybridMultilevel"/>
    <w:tmpl w:val="1522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CC7833"/>
    <w:multiLevelType w:val="hybridMultilevel"/>
    <w:tmpl w:val="20E09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6"/>
  </w:num>
  <w:num w:numId="4">
    <w:abstractNumId w:val="14"/>
  </w:num>
  <w:num w:numId="5">
    <w:abstractNumId w:val="24"/>
  </w:num>
  <w:num w:numId="6">
    <w:abstractNumId w:val="9"/>
  </w:num>
  <w:num w:numId="7">
    <w:abstractNumId w:val="5"/>
  </w:num>
  <w:num w:numId="8">
    <w:abstractNumId w:val="0"/>
  </w:num>
  <w:num w:numId="9">
    <w:abstractNumId w:val="11"/>
  </w:num>
  <w:num w:numId="10">
    <w:abstractNumId w:val="23"/>
  </w:num>
  <w:num w:numId="11">
    <w:abstractNumId w:val="12"/>
  </w:num>
  <w:num w:numId="12">
    <w:abstractNumId w:val="4"/>
  </w:num>
  <w:num w:numId="13">
    <w:abstractNumId w:val="10"/>
  </w:num>
  <w:num w:numId="14">
    <w:abstractNumId w:val="1"/>
  </w:num>
  <w:num w:numId="15">
    <w:abstractNumId w:val="19"/>
  </w:num>
  <w:num w:numId="16">
    <w:abstractNumId w:val="20"/>
  </w:num>
  <w:num w:numId="17">
    <w:abstractNumId w:val="28"/>
  </w:num>
  <w:num w:numId="18">
    <w:abstractNumId w:val="22"/>
  </w:num>
  <w:num w:numId="19">
    <w:abstractNumId w:val="15"/>
  </w:num>
  <w:num w:numId="20">
    <w:abstractNumId w:val="27"/>
  </w:num>
  <w:num w:numId="21">
    <w:abstractNumId w:val="21"/>
  </w:num>
  <w:num w:numId="22">
    <w:abstractNumId w:val="18"/>
  </w:num>
  <w:num w:numId="23">
    <w:abstractNumId w:val="29"/>
  </w:num>
  <w:num w:numId="24">
    <w:abstractNumId w:val="25"/>
  </w:num>
  <w:num w:numId="25">
    <w:abstractNumId w:val="26"/>
  </w:num>
  <w:num w:numId="26">
    <w:abstractNumId w:val="3"/>
  </w:num>
  <w:num w:numId="27">
    <w:abstractNumId w:val="17"/>
  </w:num>
  <w:num w:numId="28">
    <w:abstractNumId w:val="13"/>
  </w:num>
  <w:num w:numId="29">
    <w:abstractNumId w:val="16"/>
  </w:num>
  <w:num w:numId="3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975"/>
    <w:rsid w:val="000008E2"/>
    <w:rsid w:val="00000AAF"/>
    <w:rsid w:val="00000E54"/>
    <w:rsid w:val="0000278C"/>
    <w:rsid w:val="00003EAC"/>
    <w:rsid w:val="000048EC"/>
    <w:rsid w:val="0000531C"/>
    <w:rsid w:val="00005AD0"/>
    <w:rsid w:val="0000608B"/>
    <w:rsid w:val="00006899"/>
    <w:rsid w:val="00006AAB"/>
    <w:rsid w:val="0001026E"/>
    <w:rsid w:val="00010BD2"/>
    <w:rsid w:val="000115AC"/>
    <w:rsid w:val="00011F4D"/>
    <w:rsid w:val="00013D4E"/>
    <w:rsid w:val="0001467D"/>
    <w:rsid w:val="00015439"/>
    <w:rsid w:val="000156E6"/>
    <w:rsid w:val="0001637C"/>
    <w:rsid w:val="00016437"/>
    <w:rsid w:val="00016472"/>
    <w:rsid w:val="0001785C"/>
    <w:rsid w:val="00017BBD"/>
    <w:rsid w:val="00020234"/>
    <w:rsid w:val="00021EAD"/>
    <w:rsid w:val="00024807"/>
    <w:rsid w:val="00024FC9"/>
    <w:rsid w:val="0002588C"/>
    <w:rsid w:val="00025EAA"/>
    <w:rsid w:val="00026394"/>
    <w:rsid w:val="0002644E"/>
    <w:rsid w:val="00026B2D"/>
    <w:rsid w:val="00026E33"/>
    <w:rsid w:val="00027335"/>
    <w:rsid w:val="0003002D"/>
    <w:rsid w:val="00030672"/>
    <w:rsid w:val="0003165E"/>
    <w:rsid w:val="00032AF6"/>
    <w:rsid w:val="00035B0F"/>
    <w:rsid w:val="00035EBF"/>
    <w:rsid w:val="00036584"/>
    <w:rsid w:val="00036C7D"/>
    <w:rsid w:val="00036E5F"/>
    <w:rsid w:val="000375E5"/>
    <w:rsid w:val="00037652"/>
    <w:rsid w:val="00037854"/>
    <w:rsid w:val="00040423"/>
    <w:rsid w:val="0004103F"/>
    <w:rsid w:val="000419A0"/>
    <w:rsid w:val="00041E9E"/>
    <w:rsid w:val="00042C0F"/>
    <w:rsid w:val="00042D35"/>
    <w:rsid w:val="000441E0"/>
    <w:rsid w:val="000443E1"/>
    <w:rsid w:val="00044C95"/>
    <w:rsid w:val="00044F75"/>
    <w:rsid w:val="00045D16"/>
    <w:rsid w:val="000460DE"/>
    <w:rsid w:val="0004630B"/>
    <w:rsid w:val="00047E90"/>
    <w:rsid w:val="00050791"/>
    <w:rsid w:val="00050C8B"/>
    <w:rsid w:val="0005170E"/>
    <w:rsid w:val="00051B3F"/>
    <w:rsid w:val="0005225F"/>
    <w:rsid w:val="000525C8"/>
    <w:rsid w:val="00052653"/>
    <w:rsid w:val="00052875"/>
    <w:rsid w:val="00052C40"/>
    <w:rsid w:val="00052CFD"/>
    <w:rsid w:val="00052FAD"/>
    <w:rsid w:val="00053D33"/>
    <w:rsid w:val="000548CF"/>
    <w:rsid w:val="00054ABB"/>
    <w:rsid w:val="00054EE8"/>
    <w:rsid w:val="000553FF"/>
    <w:rsid w:val="0005555D"/>
    <w:rsid w:val="00055BA0"/>
    <w:rsid w:val="00055D07"/>
    <w:rsid w:val="000574EE"/>
    <w:rsid w:val="00057980"/>
    <w:rsid w:val="0006091C"/>
    <w:rsid w:val="00060949"/>
    <w:rsid w:val="00060F5C"/>
    <w:rsid w:val="000610C2"/>
    <w:rsid w:val="00062AB8"/>
    <w:rsid w:val="00062D02"/>
    <w:rsid w:val="00064269"/>
    <w:rsid w:val="000644E5"/>
    <w:rsid w:val="00064A43"/>
    <w:rsid w:val="0006509C"/>
    <w:rsid w:val="00067692"/>
    <w:rsid w:val="00070289"/>
    <w:rsid w:val="0007082C"/>
    <w:rsid w:val="00071C12"/>
    <w:rsid w:val="00071DD5"/>
    <w:rsid w:val="00073B98"/>
    <w:rsid w:val="00073D0F"/>
    <w:rsid w:val="0007424C"/>
    <w:rsid w:val="000746A0"/>
    <w:rsid w:val="000749AC"/>
    <w:rsid w:val="00074CB0"/>
    <w:rsid w:val="000757B1"/>
    <w:rsid w:val="00076253"/>
    <w:rsid w:val="00076CF6"/>
    <w:rsid w:val="00076F21"/>
    <w:rsid w:val="00077B42"/>
    <w:rsid w:val="00077FD8"/>
    <w:rsid w:val="000801A7"/>
    <w:rsid w:val="00080C9B"/>
    <w:rsid w:val="00080CB5"/>
    <w:rsid w:val="00081191"/>
    <w:rsid w:val="00082403"/>
    <w:rsid w:val="00082C76"/>
    <w:rsid w:val="0008318E"/>
    <w:rsid w:val="0008324C"/>
    <w:rsid w:val="00083FEE"/>
    <w:rsid w:val="0008404B"/>
    <w:rsid w:val="000844F5"/>
    <w:rsid w:val="00084E4F"/>
    <w:rsid w:val="00085B31"/>
    <w:rsid w:val="00085E3B"/>
    <w:rsid w:val="00085FEA"/>
    <w:rsid w:val="000860D5"/>
    <w:rsid w:val="000863A0"/>
    <w:rsid w:val="000866C0"/>
    <w:rsid w:val="000876EE"/>
    <w:rsid w:val="00090291"/>
    <w:rsid w:val="00090E34"/>
    <w:rsid w:val="00090F7E"/>
    <w:rsid w:val="00092829"/>
    <w:rsid w:val="00092849"/>
    <w:rsid w:val="00092933"/>
    <w:rsid w:val="00092EBC"/>
    <w:rsid w:val="000930CC"/>
    <w:rsid w:val="000938DA"/>
    <w:rsid w:val="00093DFA"/>
    <w:rsid w:val="00093DFB"/>
    <w:rsid w:val="000940C3"/>
    <w:rsid w:val="000944C7"/>
    <w:rsid w:val="00094665"/>
    <w:rsid w:val="000963B2"/>
    <w:rsid w:val="00096A64"/>
    <w:rsid w:val="00096C75"/>
    <w:rsid w:val="00096CC5"/>
    <w:rsid w:val="00097371"/>
    <w:rsid w:val="000A010E"/>
    <w:rsid w:val="000A0319"/>
    <w:rsid w:val="000A048B"/>
    <w:rsid w:val="000A0987"/>
    <w:rsid w:val="000A13C7"/>
    <w:rsid w:val="000A2164"/>
    <w:rsid w:val="000A29FF"/>
    <w:rsid w:val="000A375C"/>
    <w:rsid w:val="000A3AE8"/>
    <w:rsid w:val="000A4A59"/>
    <w:rsid w:val="000A4EAF"/>
    <w:rsid w:val="000A4FD6"/>
    <w:rsid w:val="000A50FD"/>
    <w:rsid w:val="000A5134"/>
    <w:rsid w:val="000A60C1"/>
    <w:rsid w:val="000A6375"/>
    <w:rsid w:val="000A6F09"/>
    <w:rsid w:val="000B11A4"/>
    <w:rsid w:val="000B1505"/>
    <w:rsid w:val="000B158E"/>
    <w:rsid w:val="000B16AA"/>
    <w:rsid w:val="000B1A6C"/>
    <w:rsid w:val="000B2A3C"/>
    <w:rsid w:val="000B2A52"/>
    <w:rsid w:val="000B2D19"/>
    <w:rsid w:val="000B3742"/>
    <w:rsid w:val="000B3747"/>
    <w:rsid w:val="000B452F"/>
    <w:rsid w:val="000B46E7"/>
    <w:rsid w:val="000B4735"/>
    <w:rsid w:val="000B4856"/>
    <w:rsid w:val="000B4E08"/>
    <w:rsid w:val="000B502E"/>
    <w:rsid w:val="000B5236"/>
    <w:rsid w:val="000B5323"/>
    <w:rsid w:val="000B5867"/>
    <w:rsid w:val="000B6B66"/>
    <w:rsid w:val="000B6B70"/>
    <w:rsid w:val="000B6EA5"/>
    <w:rsid w:val="000B74FE"/>
    <w:rsid w:val="000B750B"/>
    <w:rsid w:val="000B784F"/>
    <w:rsid w:val="000B7890"/>
    <w:rsid w:val="000C044B"/>
    <w:rsid w:val="000C176C"/>
    <w:rsid w:val="000C1AD6"/>
    <w:rsid w:val="000C1E9B"/>
    <w:rsid w:val="000C206A"/>
    <w:rsid w:val="000C26CD"/>
    <w:rsid w:val="000C2AA0"/>
    <w:rsid w:val="000C3AAD"/>
    <w:rsid w:val="000C411E"/>
    <w:rsid w:val="000C4CF4"/>
    <w:rsid w:val="000C5978"/>
    <w:rsid w:val="000C6307"/>
    <w:rsid w:val="000C6ABD"/>
    <w:rsid w:val="000D1717"/>
    <w:rsid w:val="000D29DB"/>
    <w:rsid w:val="000D3230"/>
    <w:rsid w:val="000D3CA0"/>
    <w:rsid w:val="000D44F3"/>
    <w:rsid w:val="000D4F1D"/>
    <w:rsid w:val="000D5ED8"/>
    <w:rsid w:val="000D6620"/>
    <w:rsid w:val="000D6F53"/>
    <w:rsid w:val="000D6F5A"/>
    <w:rsid w:val="000D7C38"/>
    <w:rsid w:val="000E0D6A"/>
    <w:rsid w:val="000E1071"/>
    <w:rsid w:val="000E1213"/>
    <w:rsid w:val="000E190C"/>
    <w:rsid w:val="000E2608"/>
    <w:rsid w:val="000E29F2"/>
    <w:rsid w:val="000E2E16"/>
    <w:rsid w:val="000E31CE"/>
    <w:rsid w:val="000E35EF"/>
    <w:rsid w:val="000E3974"/>
    <w:rsid w:val="000E3CA9"/>
    <w:rsid w:val="000E40B7"/>
    <w:rsid w:val="000E49FA"/>
    <w:rsid w:val="000E4C0C"/>
    <w:rsid w:val="000E4C48"/>
    <w:rsid w:val="000E4D00"/>
    <w:rsid w:val="000E6DE8"/>
    <w:rsid w:val="000E6E55"/>
    <w:rsid w:val="000E77B7"/>
    <w:rsid w:val="000E7B9A"/>
    <w:rsid w:val="000F0866"/>
    <w:rsid w:val="000F0EF0"/>
    <w:rsid w:val="000F1012"/>
    <w:rsid w:val="000F1225"/>
    <w:rsid w:val="000F15F9"/>
    <w:rsid w:val="000F160D"/>
    <w:rsid w:val="000F21ED"/>
    <w:rsid w:val="000F2815"/>
    <w:rsid w:val="000F35E8"/>
    <w:rsid w:val="000F3D7D"/>
    <w:rsid w:val="000F41C5"/>
    <w:rsid w:val="000F5322"/>
    <w:rsid w:val="000F5332"/>
    <w:rsid w:val="000F5BF0"/>
    <w:rsid w:val="000F612A"/>
    <w:rsid w:val="000F72B0"/>
    <w:rsid w:val="000F7906"/>
    <w:rsid w:val="000F79E8"/>
    <w:rsid w:val="001005CD"/>
    <w:rsid w:val="00100F06"/>
    <w:rsid w:val="001013D8"/>
    <w:rsid w:val="0010224A"/>
    <w:rsid w:val="00102AAA"/>
    <w:rsid w:val="001056D6"/>
    <w:rsid w:val="00105CF5"/>
    <w:rsid w:val="00106850"/>
    <w:rsid w:val="00106A26"/>
    <w:rsid w:val="00107943"/>
    <w:rsid w:val="00107B62"/>
    <w:rsid w:val="00110163"/>
    <w:rsid w:val="00110482"/>
    <w:rsid w:val="001105EA"/>
    <w:rsid w:val="0011086D"/>
    <w:rsid w:val="001112B5"/>
    <w:rsid w:val="00111A04"/>
    <w:rsid w:val="001123D6"/>
    <w:rsid w:val="00112890"/>
    <w:rsid w:val="001128CA"/>
    <w:rsid w:val="0011417C"/>
    <w:rsid w:val="00115557"/>
    <w:rsid w:val="00115CEA"/>
    <w:rsid w:val="001160D5"/>
    <w:rsid w:val="001169B3"/>
    <w:rsid w:val="001171F6"/>
    <w:rsid w:val="0011733A"/>
    <w:rsid w:val="00117B56"/>
    <w:rsid w:val="00117D07"/>
    <w:rsid w:val="001222F5"/>
    <w:rsid w:val="001223FC"/>
    <w:rsid w:val="00122494"/>
    <w:rsid w:val="001225E3"/>
    <w:rsid w:val="00122B1C"/>
    <w:rsid w:val="00124B36"/>
    <w:rsid w:val="00124CFD"/>
    <w:rsid w:val="00124E20"/>
    <w:rsid w:val="00125037"/>
    <w:rsid w:val="00125366"/>
    <w:rsid w:val="001254B0"/>
    <w:rsid w:val="0012620F"/>
    <w:rsid w:val="001267F9"/>
    <w:rsid w:val="00126C6C"/>
    <w:rsid w:val="0012789A"/>
    <w:rsid w:val="001316BB"/>
    <w:rsid w:val="00131B61"/>
    <w:rsid w:val="0013218E"/>
    <w:rsid w:val="0013229C"/>
    <w:rsid w:val="00132519"/>
    <w:rsid w:val="001328E5"/>
    <w:rsid w:val="00133059"/>
    <w:rsid w:val="00133263"/>
    <w:rsid w:val="00134916"/>
    <w:rsid w:val="00134D01"/>
    <w:rsid w:val="00135A97"/>
    <w:rsid w:val="00136050"/>
    <w:rsid w:val="00136224"/>
    <w:rsid w:val="00136E07"/>
    <w:rsid w:val="001402AB"/>
    <w:rsid w:val="0014043F"/>
    <w:rsid w:val="00140C2B"/>
    <w:rsid w:val="001417B0"/>
    <w:rsid w:val="00142541"/>
    <w:rsid w:val="00143096"/>
    <w:rsid w:val="001433B9"/>
    <w:rsid w:val="0014426D"/>
    <w:rsid w:val="00144396"/>
    <w:rsid w:val="00144ED4"/>
    <w:rsid w:val="001452D7"/>
    <w:rsid w:val="00145489"/>
    <w:rsid w:val="00145FDB"/>
    <w:rsid w:val="001465AE"/>
    <w:rsid w:val="001471FA"/>
    <w:rsid w:val="00147686"/>
    <w:rsid w:val="0014792F"/>
    <w:rsid w:val="00147F06"/>
    <w:rsid w:val="0015106A"/>
    <w:rsid w:val="001511E6"/>
    <w:rsid w:val="00151D70"/>
    <w:rsid w:val="00152AF6"/>
    <w:rsid w:val="001531AA"/>
    <w:rsid w:val="0015366A"/>
    <w:rsid w:val="00153D61"/>
    <w:rsid w:val="00153E21"/>
    <w:rsid w:val="00154551"/>
    <w:rsid w:val="001546E7"/>
    <w:rsid w:val="0015479E"/>
    <w:rsid w:val="001557B2"/>
    <w:rsid w:val="00155A94"/>
    <w:rsid w:val="00155D15"/>
    <w:rsid w:val="001566B6"/>
    <w:rsid w:val="00156758"/>
    <w:rsid w:val="00156D12"/>
    <w:rsid w:val="0016017A"/>
    <w:rsid w:val="00161036"/>
    <w:rsid w:val="0016117D"/>
    <w:rsid w:val="001613DD"/>
    <w:rsid w:val="00161BF6"/>
    <w:rsid w:val="001626DE"/>
    <w:rsid w:val="001627E8"/>
    <w:rsid w:val="00162A08"/>
    <w:rsid w:val="00163EF9"/>
    <w:rsid w:val="00164E00"/>
    <w:rsid w:val="00164ED4"/>
    <w:rsid w:val="00165B18"/>
    <w:rsid w:val="00166354"/>
    <w:rsid w:val="001663EF"/>
    <w:rsid w:val="00166F7D"/>
    <w:rsid w:val="0016710D"/>
    <w:rsid w:val="001672F9"/>
    <w:rsid w:val="00167723"/>
    <w:rsid w:val="00170776"/>
    <w:rsid w:val="00170D88"/>
    <w:rsid w:val="0017282C"/>
    <w:rsid w:val="00172A4F"/>
    <w:rsid w:val="0017300B"/>
    <w:rsid w:val="00173CED"/>
    <w:rsid w:val="00173E91"/>
    <w:rsid w:val="00173FB9"/>
    <w:rsid w:val="001746D0"/>
    <w:rsid w:val="00174BAB"/>
    <w:rsid w:val="00175FEB"/>
    <w:rsid w:val="0017623E"/>
    <w:rsid w:val="00176B49"/>
    <w:rsid w:val="00176C7B"/>
    <w:rsid w:val="00177570"/>
    <w:rsid w:val="0018091B"/>
    <w:rsid w:val="001810D1"/>
    <w:rsid w:val="00181785"/>
    <w:rsid w:val="001819DF"/>
    <w:rsid w:val="00182580"/>
    <w:rsid w:val="0018318F"/>
    <w:rsid w:val="00183C63"/>
    <w:rsid w:val="0018402F"/>
    <w:rsid w:val="00184BCF"/>
    <w:rsid w:val="00185917"/>
    <w:rsid w:val="00185A08"/>
    <w:rsid w:val="00185D48"/>
    <w:rsid w:val="001865EF"/>
    <w:rsid w:val="0018718A"/>
    <w:rsid w:val="00187B0A"/>
    <w:rsid w:val="00191087"/>
    <w:rsid w:val="001914C0"/>
    <w:rsid w:val="00191F3B"/>
    <w:rsid w:val="00191FC2"/>
    <w:rsid w:val="00192220"/>
    <w:rsid w:val="00192248"/>
    <w:rsid w:val="00192F66"/>
    <w:rsid w:val="001930F8"/>
    <w:rsid w:val="001932F5"/>
    <w:rsid w:val="00194EF8"/>
    <w:rsid w:val="001952D6"/>
    <w:rsid w:val="0019643A"/>
    <w:rsid w:val="0019645D"/>
    <w:rsid w:val="001966C6"/>
    <w:rsid w:val="0019783F"/>
    <w:rsid w:val="00197F0C"/>
    <w:rsid w:val="001A01ED"/>
    <w:rsid w:val="001A1699"/>
    <w:rsid w:val="001A1789"/>
    <w:rsid w:val="001A20D6"/>
    <w:rsid w:val="001A22CB"/>
    <w:rsid w:val="001A3087"/>
    <w:rsid w:val="001A3258"/>
    <w:rsid w:val="001A3391"/>
    <w:rsid w:val="001A36E6"/>
    <w:rsid w:val="001A3F27"/>
    <w:rsid w:val="001A5A9E"/>
    <w:rsid w:val="001A5C24"/>
    <w:rsid w:val="001A64C7"/>
    <w:rsid w:val="001A64D8"/>
    <w:rsid w:val="001A6D4F"/>
    <w:rsid w:val="001A731B"/>
    <w:rsid w:val="001B000F"/>
    <w:rsid w:val="001B02C1"/>
    <w:rsid w:val="001B19D9"/>
    <w:rsid w:val="001B2217"/>
    <w:rsid w:val="001B275B"/>
    <w:rsid w:val="001B28CB"/>
    <w:rsid w:val="001B373D"/>
    <w:rsid w:val="001B4115"/>
    <w:rsid w:val="001B455D"/>
    <w:rsid w:val="001B4DE3"/>
    <w:rsid w:val="001B5998"/>
    <w:rsid w:val="001B5C85"/>
    <w:rsid w:val="001B6B39"/>
    <w:rsid w:val="001B6BBB"/>
    <w:rsid w:val="001B6C24"/>
    <w:rsid w:val="001C000D"/>
    <w:rsid w:val="001C0368"/>
    <w:rsid w:val="001C0569"/>
    <w:rsid w:val="001C05AE"/>
    <w:rsid w:val="001C05B8"/>
    <w:rsid w:val="001C0B51"/>
    <w:rsid w:val="001C130E"/>
    <w:rsid w:val="001C14FE"/>
    <w:rsid w:val="001C232F"/>
    <w:rsid w:val="001C25CB"/>
    <w:rsid w:val="001C36DE"/>
    <w:rsid w:val="001C3F74"/>
    <w:rsid w:val="001C4322"/>
    <w:rsid w:val="001C46C4"/>
    <w:rsid w:val="001C4B70"/>
    <w:rsid w:val="001C4F7E"/>
    <w:rsid w:val="001C5081"/>
    <w:rsid w:val="001C51B2"/>
    <w:rsid w:val="001C53AC"/>
    <w:rsid w:val="001C5E74"/>
    <w:rsid w:val="001C6232"/>
    <w:rsid w:val="001C7773"/>
    <w:rsid w:val="001C78C1"/>
    <w:rsid w:val="001C7BFA"/>
    <w:rsid w:val="001D08B9"/>
    <w:rsid w:val="001D0E4E"/>
    <w:rsid w:val="001D1001"/>
    <w:rsid w:val="001D11A8"/>
    <w:rsid w:val="001D16C3"/>
    <w:rsid w:val="001D1997"/>
    <w:rsid w:val="001D1DBA"/>
    <w:rsid w:val="001D2504"/>
    <w:rsid w:val="001D2A14"/>
    <w:rsid w:val="001D2EB4"/>
    <w:rsid w:val="001D3CEB"/>
    <w:rsid w:val="001D4214"/>
    <w:rsid w:val="001D4385"/>
    <w:rsid w:val="001D44DD"/>
    <w:rsid w:val="001D45D2"/>
    <w:rsid w:val="001D4642"/>
    <w:rsid w:val="001D4701"/>
    <w:rsid w:val="001D488E"/>
    <w:rsid w:val="001D4EB3"/>
    <w:rsid w:val="001D52AD"/>
    <w:rsid w:val="001D56A2"/>
    <w:rsid w:val="001D6379"/>
    <w:rsid w:val="001D7926"/>
    <w:rsid w:val="001D7F28"/>
    <w:rsid w:val="001E05BC"/>
    <w:rsid w:val="001E05CF"/>
    <w:rsid w:val="001E0ABF"/>
    <w:rsid w:val="001E0D90"/>
    <w:rsid w:val="001E11DA"/>
    <w:rsid w:val="001E19CE"/>
    <w:rsid w:val="001E2F4F"/>
    <w:rsid w:val="001E2F93"/>
    <w:rsid w:val="001E314C"/>
    <w:rsid w:val="001E3ADC"/>
    <w:rsid w:val="001E3F0A"/>
    <w:rsid w:val="001E43D5"/>
    <w:rsid w:val="001E4C6C"/>
    <w:rsid w:val="001E5087"/>
    <w:rsid w:val="001E614F"/>
    <w:rsid w:val="001E6CC3"/>
    <w:rsid w:val="001E6E51"/>
    <w:rsid w:val="001E7116"/>
    <w:rsid w:val="001E7711"/>
    <w:rsid w:val="001E7C8F"/>
    <w:rsid w:val="001F02AB"/>
    <w:rsid w:val="001F0712"/>
    <w:rsid w:val="001F0F5A"/>
    <w:rsid w:val="001F1098"/>
    <w:rsid w:val="001F12FA"/>
    <w:rsid w:val="001F17BB"/>
    <w:rsid w:val="001F1AE8"/>
    <w:rsid w:val="001F2E48"/>
    <w:rsid w:val="001F395B"/>
    <w:rsid w:val="001F39B6"/>
    <w:rsid w:val="001F3E1A"/>
    <w:rsid w:val="001F3E31"/>
    <w:rsid w:val="001F5893"/>
    <w:rsid w:val="001F6468"/>
    <w:rsid w:val="001F73B0"/>
    <w:rsid w:val="001F753D"/>
    <w:rsid w:val="0020049F"/>
    <w:rsid w:val="0020069F"/>
    <w:rsid w:val="00200995"/>
    <w:rsid w:val="002018B8"/>
    <w:rsid w:val="00201982"/>
    <w:rsid w:val="0020256C"/>
    <w:rsid w:val="00203C69"/>
    <w:rsid w:val="00203F61"/>
    <w:rsid w:val="00203F73"/>
    <w:rsid w:val="002047DF"/>
    <w:rsid w:val="0020603D"/>
    <w:rsid w:val="002060D9"/>
    <w:rsid w:val="002063DC"/>
    <w:rsid w:val="00206C01"/>
    <w:rsid w:val="002104A0"/>
    <w:rsid w:val="00210998"/>
    <w:rsid w:val="00211E10"/>
    <w:rsid w:val="0021271F"/>
    <w:rsid w:val="0021278E"/>
    <w:rsid w:val="002129F7"/>
    <w:rsid w:val="00212AC5"/>
    <w:rsid w:val="00212B9F"/>
    <w:rsid w:val="00212D6C"/>
    <w:rsid w:val="002138E5"/>
    <w:rsid w:val="00214143"/>
    <w:rsid w:val="002143F6"/>
    <w:rsid w:val="00214ABA"/>
    <w:rsid w:val="00214FD2"/>
    <w:rsid w:val="00215357"/>
    <w:rsid w:val="00215FBF"/>
    <w:rsid w:val="002178DE"/>
    <w:rsid w:val="00217FF7"/>
    <w:rsid w:val="00220BF1"/>
    <w:rsid w:val="00221042"/>
    <w:rsid w:val="002212D1"/>
    <w:rsid w:val="00221972"/>
    <w:rsid w:val="002219BE"/>
    <w:rsid w:val="00221E8A"/>
    <w:rsid w:val="00221FB4"/>
    <w:rsid w:val="00222A8C"/>
    <w:rsid w:val="00222A99"/>
    <w:rsid w:val="002230AC"/>
    <w:rsid w:val="00223267"/>
    <w:rsid w:val="002234C3"/>
    <w:rsid w:val="00223B35"/>
    <w:rsid w:val="00223DF4"/>
    <w:rsid w:val="00225012"/>
    <w:rsid w:val="00225ADD"/>
    <w:rsid w:val="00226414"/>
    <w:rsid w:val="00227457"/>
    <w:rsid w:val="00227712"/>
    <w:rsid w:val="00227C5F"/>
    <w:rsid w:val="0023053A"/>
    <w:rsid w:val="002305DA"/>
    <w:rsid w:val="0023157F"/>
    <w:rsid w:val="002315D6"/>
    <w:rsid w:val="00231820"/>
    <w:rsid w:val="00231CED"/>
    <w:rsid w:val="00231DC6"/>
    <w:rsid w:val="00232648"/>
    <w:rsid w:val="00232A26"/>
    <w:rsid w:val="00232C2D"/>
    <w:rsid w:val="00233CDC"/>
    <w:rsid w:val="0023455C"/>
    <w:rsid w:val="0023501B"/>
    <w:rsid w:val="002350FD"/>
    <w:rsid w:val="002358B5"/>
    <w:rsid w:val="002359CC"/>
    <w:rsid w:val="002362BA"/>
    <w:rsid w:val="002369FA"/>
    <w:rsid w:val="00236C97"/>
    <w:rsid w:val="0023763C"/>
    <w:rsid w:val="00237769"/>
    <w:rsid w:val="00237803"/>
    <w:rsid w:val="00237CA6"/>
    <w:rsid w:val="00237ED5"/>
    <w:rsid w:val="002400D0"/>
    <w:rsid w:val="002403A7"/>
    <w:rsid w:val="002404CE"/>
    <w:rsid w:val="002405D8"/>
    <w:rsid w:val="0024114C"/>
    <w:rsid w:val="00241150"/>
    <w:rsid w:val="0024188C"/>
    <w:rsid w:val="002452D7"/>
    <w:rsid w:val="00245745"/>
    <w:rsid w:val="00250CEE"/>
    <w:rsid w:val="0025167F"/>
    <w:rsid w:val="00251B15"/>
    <w:rsid w:val="00252188"/>
    <w:rsid w:val="00252461"/>
    <w:rsid w:val="002529BC"/>
    <w:rsid w:val="00252B6C"/>
    <w:rsid w:val="002537CA"/>
    <w:rsid w:val="0025411D"/>
    <w:rsid w:val="00254684"/>
    <w:rsid w:val="002548B4"/>
    <w:rsid w:val="00254D7D"/>
    <w:rsid w:val="0025662D"/>
    <w:rsid w:val="0025696C"/>
    <w:rsid w:val="00257CF9"/>
    <w:rsid w:val="00257E94"/>
    <w:rsid w:val="00257F4D"/>
    <w:rsid w:val="00257F56"/>
    <w:rsid w:val="00260066"/>
    <w:rsid w:val="0026050C"/>
    <w:rsid w:val="00261C5D"/>
    <w:rsid w:val="002624DF"/>
    <w:rsid w:val="00262DBE"/>
    <w:rsid w:val="002637E7"/>
    <w:rsid w:val="0026508A"/>
    <w:rsid w:val="0026509F"/>
    <w:rsid w:val="00265301"/>
    <w:rsid w:val="00265682"/>
    <w:rsid w:val="00265DB1"/>
    <w:rsid w:val="00266E32"/>
    <w:rsid w:val="00267FFE"/>
    <w:rsid w:val="002702F2"/>
    <w:rsid w:val="00270682"/>
    <w:rsid w:val="0027087C"/>
    <w:rsid w:val="002715FE"/>
    <w:rsid w:val="00271765"/>
    <w:rsid w:val="00271775"/>
    <w:rsid w:val="002733DF"/>
    <w:rsid w:val="0027359F"/>
    <w:rsid w:val="002741EF"/>
    <w:rsid w:val="0027563A"/>
    <w:rsid w:val="00275647"/>
    <w:rsid w:val="00275ED5"/>
    <w:rsid w:val="0027649E"/>
    <w:rsid w:val="00276594"/>
    <w:rsid w:val="0027697F"/>
    <w:rsid w:val="002770C1"/>
    <w:rsid w:val="00277944"/>
    <w:rsid w:val="00277FA2"/>
    <w:rsid w:val="0028009E"/>
    <w:rsid w:val="00280B07"/>
    <w:rsid w:val="00281790"/>
    <w:rsid w:val="00281C21"/>
    <w:rsid w:val="00283ED1"/>
    <w:rsid w:val="002843F0"/>
    <w:rsid w:val="00284778"/>
    <w:rsid w:val="00285807"/>
    <w:rsid w:val="0028606E"/>
    <w:rsid w:val="00286ECD"/>
    <w:rsid w:val="002902D1"/>
    <w:rsid w:val="002911FE"/>
    <w:rsid w:val="002917F0"/>
    <w:rsid w:val="0029205C"/>
    <w:rsid w:val="002922C8"/>
    <w:rsid w:val="00292D04"/>
    <w:rsid w:val="00292DD8"/>
    <w:rsid w:val="00293098"/>
    <w:rsid w:val="002936F3"/>
    <w:rsid w:val="00293B4E"/>
    <w:rsid w:val="002953A0"/>
    <w:rsid w:val="00295521"/>
    <w:rsid w:val="002959C8"/>
    <w:rsid w:val="00295AC7"/>
    <w:rsid w:val="00296698"/>
    <w:rsid w:val="00296D13"/>
    <w:rsid w:val="002971A7"/>
    <w:rsid w:val="002A033D"/>
    <w:rsid w:val="002A0C73"/>
    <w:rsid w:val="002A0C95"/>
    <w:rsid w:val="002A0F30"/>
    <w:rsid w:val="002A1041"/>
    <w:rsid w:val="002A1143"/>
    <w:rsid w:val="002A1491"/>
    <w:rsid w:val="002A1753"/>
    <w:rsid w:val="002A2725"/>
    <w:rsid w:val="002A2A34"/>
    <w:rsid w:val="002A2E70"/>
    <w:rsid w:val="002A3459"/>
    <w:rsid w:val="002A3B1B"/>
    <w:rsid w:val="002A42FA"/>
    <w:rsid w:val="002A5A26"/>
    <w:rsid w:val="002A6B82"/>
    <w:rsid w:val="002A6D35"/>
    <w:rsid w:val="002A72FB"/>
    <w:rsid w:val="002A7F3D"/>
    <w:rsid w:val="002B012B"/>
    <w:rsid w:val="002B0D2E"/>
    <w:rsid w:val="002B1293"/>
    <w:rsid w:val="002B154D"/>
    <w:rsid w:val="002B2306"/>
    <w:rsid w:val="002B23FD"/>
    <w:rsid w:val="002B25D3"/>
    <w:rsid w:val="002B2BE9"/>
    <w:rsid w:val="002B367F"/>
    <w:rsid w:val="002B3874"/>
    <w:rsid w:val="002B3913"/>
    <w:rsid w:val="002B45EA"/>
    <w:rsid w:val="002B4830"/>
    <w:rsid w:val="002B4FE6"/>
    <w:rsid w:val="002B5321"/>
    <w:rsid w:val="002B587C"/>
    <w:rsid w:val="002B5DDA"/>
    <w:rsid w:val="002B67D9"/>
    <w:rsid w:val="002B6CB2"/>
    <w:rsid w:val="002B75CC"/>
    <w:rsid w:val="002B773E"/>
    <w:rsid w:val="002B7A20"/>
    <w:rsid w:val="002C00E7"/>
    <w:rsid w:val="002C014D"/>
    <w:rsid w:val="002C0942"/>
    <w:rsid w:val="002C0998"/>
    <w:rsid w:val="002C1827"/>
    <w:rsid w:val="002C2A1C"/>
    <w:rsid w:val="002C2DF7"/>
    <w:rsid w:val="002C2E43"/>
    <w:rsid w:val="002C38C1"/>
    <w:rsid w:val="002C3A41"/>
    <w:rsid w:val="002C3EDE"/>
    <w:rsid w:val="002C43ED"/>
    <w:rsid w:val="002C44DF"/>
    <w:rsid w:val="002C457D"/>
    <w:rsid w:val="002C4FC0"/>
    <w:rsid w:val="002C5066"/>
    <w:rsid w:val="002C54EA"/>
    <w:rsid w:val="002C5A40"/>
    <w:rsid w:val="002C6A24"/>
    <w:rsid w:val="002C6D46"/>
    <w:rsid w:val="002C6EEA"/>
    <w:rsid w:val="002C77C3"/>
    <w:rsid w:val="002C785F"/>
    <w:rsid w:val="002C7BDE"/>
    <w:rsid w:val="002D037C"/>
    <w:rsid w:val="002D14B4"/>
    <w:rsid w:val="002D17F2"/>
    <w:rsid w:val="002D1815"/>
    <w:rsid w:val="002D1F56"/>
    <w:rsid w:val="002D215D"/>
    <w:rsid w:val="002D2A51"/>
    <w:rsid w:val="002D2CCE"/>
    <w:rsid w:val="002D306B"/>
    <w:rsid w:val="002D41F1"/>
    <w:rsid w:val="002D4A3E"/>
    <w:rsid w:val="002D4B78"/>
    <w:rsid w:val="002D648E"/>
    <w:rsid w:val="002D7220"/>
    <w:rsid w:val="002D79AA"/>
    <w:rsid w:val="002E0352"/>
    <w:rsid w:val="002E035A"/>
    <w:rsid w:val="002E109F"/>
    <w:rsid w:val="002E3016"/>
    <w:rsid w:val="002E4151"/>
    <w:rsid w:val="002E45C8"/>
    <w:rsid w:val="002E4A13"/>
    <w:rsid w:val="002E5E67"/>
    <w:rsid w:val="002E63B7"/>
    <w:rsid w:val="002E656D"/>
    <w:rsid w:val="002E69F5"/>
    <w:rsid w:val="002E6CA9"/>
    <w:rsid w:val="002E723B"/>
    <w:rsid w:val="002E75A2"/>
    <w:rsid w:val="002F029E"/>
    <w:rsid w:val="002F075F"/>
    <w:rsid w:val="002F083E"/>
    <w:rsid w:val="002F08D9"/>
    <w:rsid w:val="002F0B1A"/>
    <w:rsid w:val="002F0C0C"/>
    <w:rsid w:val="002F12D6"/>
    <w:rsid w:val="002F1C40"/>
    <w:rsid w:val="002F1EB4"/>
    <w:rsid w:val="002F20E1"/>
    <w:rsid w:val="002F22AF"/>
    <w:rsid w:val="002F24B1"/>
    <w:rsid w:val="002F3B5F"/>
    <w:rsid w:val="002F63F9"/>
    <w:rsid w:val="002F715A"/>
    <w:rsid w:val="002F7F09"/>
    <w:rsid w:val="00300130"/>
    <w:rsid w:val="003003A9"/>
    <w:rsid w:val="00301078"/>
    <w:rsid w:val="0030122D"/>
    <w:rsid w:val="0030153E"/>
    <w:rsid w:val="00301E46"/>
    <w:rsid w:val="00301F41"/>
    <w:rsid w:val="00302CD1"/>
    <w:rsid w:val="00303412"/>
    <w:rsid w:val="00304001"/>
    <w:rsid w:val="00304330"/>
    <w:rsid w:val="003043E6"/>
    <w:rsid w:val="00304B19"/>
    <w:rsid w:val="00304C20"/>
    <w:rsid w:val="00305071"/>
    <w:rsid w:val="00305945"/>
    <w:rsid w:val="00306388"/>
    <w:rsid w:val="00306E39"/>
    <w:rsid w:val="003073DD"/>
    <w:rsid w:val="00307EE5"/>
    <w:rsid w:val="00311452"/>
    <w:rsid w:val="00311F84"/>
    <w:rsid w:val="003122D6"/>
    <w:rsid w:val="00312333"/>
    <w:rsid w:val="003128C9"/>
    <w:rsid w:val="00312A5D"/>
    <w:rsid w:val="00312E16"/>
    <w:rsid w:val="003137BB"/>
    <w:rsid w:val="003139C7"/>
    <w:rsid w:val="003158D8"/>
    <w:rsid w:val="0031616F"/>
    <w:rsid w:val="00316962"/>
    <w:rsid w:val="00316D34"/>
    <w:rsid w:val="00316D4E"/>
    <w:rsid w:val="00317B47"/>
    <w:rsid w:val="0032063A"/>
    <w:rsid w:val="00320B0B"/>
    <w:rsid w:val="00320B94"/>
    <w:rsid w:val="00322A71"/>
    <w:rsid w:val="00322D5C"/>
    <w:rsid w:val="00322E6E"/>
    <w:rsid w:val="00323957"/>
    <w:rsid w:val="003244B0"/>
    <w:rsid w:val="003244C1"/>
    <w:rsid w:val="003250F2"/>
    <w:rsid w:val="00325203"/>
    <w:rsid w:val="003252CA"/>
    <w:rsid w:val="003253FA"/>
    <w:rsid w:val="003255EE"/>
    <w:rsid w:val="00325DB2"/>
    <w:rsid w:val="00325E6D"/>
    <w:rsid w:val="00330317"/>
    <w:rsid w:val="003317E0"/>
    <w:rsid w:val="00331FDB"/>
    <w:rsid w:val="00333384"/>
    <w:rsid w:val="0033374F"/>
    <w:rsid w:val="00333798"/>
    <w:rsid w:val="0033391E"/>
    <w:rsid w:val="00333ECD"/>
    <w:rsid w:val="003341DD"/>
    <w:rsid w:val="00334A88"/>
    <w:rsid w:val="00334DBA"/>
    <w:rsid w:val="00334FF7"/>
    <w:rsid w:val="003359D0"/>
    <w:rsid w:val="00336B4E"/>
    <w:rsid w:val="00336B74"/>
    <w:rsid w:val="00336F4A"/>
    <w:rsid w:val="00337C35"/>
    <w:rsid w:val="0034081C"/>
    <w:rsid w:val="003410F7"/>
    <w:rsid w:val="00341681"/>
    <w:rsid w:val="00341D4C"/>
    <w:rsid w:val="00341F0C"/>
    <w:rsid w:val="00341FB1"/>
    <w:rsid w:val="00342224"/>
    <w:rsid w:val="003423DE"/>
    <w:rsid w:val="003428FF"/>
    <w:rsid w:val="00342C17"/>
    <w:rsid w:val="00342D35"/>
    <w:rsid w:val="003430A0"/>
    <w:rsid w:val="00343822"/>
    <w:rsid w:val="0034404D"/>
    <w:rsid w:val="0034454E"/>
    <w:rsid w:val="00344FEB"/>
    <w:rsid w:val="0034560E"/>
    <w:rsid w:val="003457B1"/>
    <w:rsid w:val="003460B6"/>
    <w:rsid w:val="00346341"/>
    <w:rsid w:val="0034701A"/>
    <w:rsid w:val="0034772B"/>
    <w:rsid w:val="003479AF"/>
    <w:rsid w:val="00347C23"/>
    <w:rsid w:val="003503F6"/>
    <w:rsid w:val="00350F99"/>
    <w:rsid w:val="00351337"/>
    <w:rsid w:val="0035201A"/>
    <w:rsid w:val="00352577"/>
    <w:rsid w:val="00352EA3"/>
    <w:rsid w:val="00353393"/>
    <w:rsid w:val="0035366D"/>
    <w:rsid w:val="003542A4"/>
    <w:rsid w:val="00354E4E"/>
    <w:rsid w:val="00354EF7"/>
    <w:rsid w:val="003556B7"/>
    <w:rsid w:val="0035594F"/>
    <w:rsid w:val="003559E9"/>
    <w:rsid w:val="00355F07"/>
    <w:rsid w:val="00356252"/>
    <w:rsid w:val="003562FF"/>
    <w:rsid w:val="00357186"/>
    <w:rsid w:val="003571F8"/>
    <w:rsid w:val="0035780A"/>
    <w:rsid w:val="0035789F"/>
    <w:rsid w:val="00357B66"/>
    <w:rsid w:val="00357F13"/>
    <w:rsid w:val="00360C2C"/>
    <w:rsid w:val="00361360"/>
    <w:rsid w:val="0036194C"/>
    <w:rsid w:val="00362116"/>
    <w:rsid w:val="003626FD"/>
    <w:rsid w:val="00362798"/>
    <w:rsid w:val="003627B3"/>
    <w:rsid w:val="00362C13"/>
    <w:rsid w:val="00364432"/>
    <w:rsid w:val="00365265"/>
    <w:rsid w:val="003658AC"/>
    <w:rsid w:val="003660B7"/>
    <w:rsid w:val="003662B7"/>
    <w:rsid w:val="0036664F"/>
    <w:rsid w:val="003670CC"/>
    <w:rsid w:val="0037027F"/>
    <w:rsid w:val="00370B0E"/>
    <w:rsid w:val="003710BB"/>
    <w:rsid w:val="003710D0"/>
    <w:rsid w:val="00371662"/>
    <w:rsid w:val="003718A4"/>
    <w:rsid w:val="0037190B"/>
    <w:rsid w:val="00371B88"/>
    <w:rsid w:val="00371C97"/>
    <w:rsid w:val="00371F6A"/>
    <w:rsid w:val="00372489"/>
    <w:rsid w:val="00373292"/>
    <w:rsid w:val="00373631"/>
    <w:rsid w:val="0037387E"/>
    <w:rsid w:val="00374CE5"/>
    <w:rsid w:val="0037590D"/>
    <w:rsid w:val="00375D1C"/>
    <w:rsid w:val="003764DF"/>
    <w:rsid w:val="003770D1"/>
    <w:rsid w:val="00377362"/>
    <w:rsid w:val="0037747C"/>
    <w:rsid w:val="003776C6"/>
    <w:rsid w:val="00377D7B"/>
    <w:rsid w:val="00377FAC"/>
    <w:rsid w:val="003800C2"/>
    <w:rsid w:val="00380532"/>
    <w:rsid w:val="00380581"/>
    <w:rsid w:val="0038164E"/>
    <w:rsid w:val="00382F49"/>
    <w:rsid w:val="00383317"/>
    <w:rsid w:val="00383663"/>
    <w:rsid w:val="003837D3"/>
    <w:rsid w:val="00383935"/>
    <w:rsid w:val="00384730"/>
    <w:rsid w:val="003853B9"/>
    <w:rsid w:val="0038566D"/>
    <w:rsid w:val="00385818"/>
    <w:rsid w:val="00385862"/>
    <w:rsid w:val="00385C41"/>
    <w:rsid w:val="00386FBB"/>
    <w:rsid w:val="0038718D"/>
    <w:rsid w:val="00387AA0"/>
    <w:rsid w:val="00387E2F"/>
    <w:rsid w:val="00387F93"/>
    <w:rsid w:val="003902F6"/>
    <w:rsid w:val="00390504"/>
    <w:rsid w:val="003909DE"/>
    <w:rsid w:val="00390C0F"/>
    <w:rsid w:val="00393153"/>
    <w:rsid w:val="00393445"/>
    <w:rsid w:val="0039368E"/>
    <w:rsid w:val="00393C3E"/>
    <w:rsid w:val="00393ED1"/>
    <w:rsid w:val="0039402B"/>
    <w:rsid w:val="00394623"/>
    <w:rsid w:val="00394A6E"/>
    <w:rsid w:val="00394AEF"/>
    <w:rsid w:val="00394C37"/>
    <w:rsid w:val="00394D1D"/>
    <w:rsid w:val="00394ECA"/>
    <w:rsid w:val="003972FE"/>
    <w:rsid w:val="00397575"/>
    <w:rsid w:val="0039773D"/>
    <w:rsid w:val="0039781D"/>
    <w:rsid w:val="00397AF8"/>
    <w:rsid w:val="00397B7C"/>
    <w:rsid w:val="00397C7A"/>
    <w:rsid w:val="003A0037"/>
    <w:rsid w:val="003A0641"/>
    <w:rsid w:val="003A10AA"/>
    <w:rsid w:val="003A14C7"/>
    <w:rsid w:val="003A186D"/>
    <w:rsid w:val="003A1A8E"/>
    <w:rsid w:val="003A2196"/>
    <w:rsid w:val="003A2232"/>
    <w:rsid w:val="003A2517"/>
    <w:rsid w:val="003A2627"/>
    <w:rsid w:val="003A3828"/>
    <w:rsid w:val="003A440E"/>
    <w:rsid w:val="003A4E66"/>
    <w:rsid w:val="003A51AB"/>
    <w:rsid w:val="003A5424"/>
    <w:rsid w:val="003A5451"/>
    <w:rsid w:val="003A5561"/>
    <w:rsid w:val="003A568C"/>
    <w:rsid w:val="003A5E1B"/>
    <w:rsid w:val="003A5F1B"/>
    <w:rsid w:val="003A6534"/>
    <w:rsid w:val="003A6A1C"/>
    <w:rsid w:val="003A7201"/>
    <w:rsid w:val="003A7272"/>
    <w:rsid w:val="003B0C99"/>
    <w:rsid w:val="003B0DD4"/>
    <w:rsid w:val="003B1947"/>
    <w:rsid w:val="003B1CA6"/>
    <w:rsid w:val="003B2524"/>
    <w:rsid w:val="003B254E"/>
    <w:rsid w:val="003B2C7E"/>
    <w:rsid w:val="003B35A2"/>
    <w:rsid w:val="003B3916"/>
    <w:rsid w:val="003B3F4E"/>
    <w:rsid w:val="003B4975"/>
    <w:rsid w:val="003B5135"/>
    <w:rsid w:val="003B566F"/>
    <w:rsid w:val="003B5924"/>
    <w:rsid w:val="003B606A"/>
    <w:rsid w:val="003B60CC"/>
    <w:rsid w:val="003B65B3"/>
    <w:rsid w:val="003B68BE"/>
    <w:rsid w:val="003B6A6A"/>
    <w:rsid w:val="003B7C63"/>
    <w:rsid w:val="003B7CA3"/>
    <w:rsid w:val="003C16DA"/>
    <w:rsid w:val="003C1D5A"/>
    <w:rsid w:val="003C68DC"/>
    <w:rsid w:val="003C7059"/>
    <w:rsid w:val="003C76D0"/>
    <w:rsid w:val="003D097B"/>
    <w:rsid w:val="003D2C19"/>
    <w:rsid w:val="003D31AE"/>
    <w:rsid w:val="003D4CF6"/>
    <w:rsid w:val="003D5169"/>
    <w:rsid w:val="003D6A31"/>
    <w:rsid w:val="003D6F29"/>
    <w:rsid w:val="003D7C37"/>
    <w:rsid w:val="003D7C38"/>
    <w:rsid w:val="003E1BC9"/>
    <w:rsid w:val="003E1D39"/>
    <w:rsid w:val="003E208A"/>
    <w:rsid w:val="003E2106"/>
    <w:rsid w:val="003E23FD"/>
    <w:rsid w:val="003E27A7"/>
    <w:rsid w:val="003E3276"/>
    <w:rsid w:val="003E377D"/>
    <w:rsid w:val="003E3E80"/>
    <w:rsid w:val="003E4B79"/>
    <w:rsid w:val="003E4CE5"/>
    <w:rsid w:val="003E4F0B"/>
    <w:rsid w:val="003E5557"/>
    <w:rsid w:val="003E5CD7"/>
    <w:rsid w:val="003E6317"/>
    <w:rsid w:val="003E6A31"/>
    <w:rsid w:val="003E6EC5"/>
    <w:rsid w:val="003E7F48"/>
    <w:rsid w:val="003F0111"/>
    <w:rsid w:val="003F149F"/>
    <w:rsid w:val="003F15B6"/>
    <w:rsid w:val="003F1E42"/>
    <w:rsid w:val="003F26A9"/>
    <w:rsid w:val="003F30F0"/>
    <w:rsid w:val="003F340D"/>
    <w:rsid w:val="003F4357"/>
    <w:rsid w:val="003F43D9"/>
    <w:rsid w:val="003F4D2F"/>
    <w:rsid w:val="003F6AD3"/>
    <w:rsid w:val="003F709F"/>
    <w:rsid w:val="003F72BA"/>
    <w:rsid w:val="003F744F"/>
    <w:rsid w:val="003F75E2"/>
    <w:rsid w:val="003F79A4"/>
    <w:rsid w:val="003F7F0A"/>
    <w:rsid w:val="00400302"/>
    <w:rsid w:val="004009C6"/>
    <w:rsid w:val="00401D3E"/>
    <w:rsid w:val="00401E88"/>
    <w:rsid w:val="004029C0"/>
    <w:rsid w:val="00402EC7"/>
    <w:rsid w:val="004031A6"/>
    <w:rsid w:val="004067DB"/>
    <w:rsid w:val="004068FB"/>
    <w:rsid w:val="00406E9A"/>
    <w:rsid w:val="004073FA"/>
    <w:rsid w:val="004075F6"/>
    <w:rsid w:val="004078F6"/>
    <w:rsid w:val="00411428"/>
    <w:rsid w:val="004114D3"/>
    <w:rsid w:val="00411530"/>
    <w:rsid w:val="00411B66"/>
    <w:rsid w:val="00412106"/>
    <w:rsid w:val="00412116"/>
    <w:rsid w:val="004123F5"/>
    <w:rsid w:val="0041309C"/>
    <w:rsid w:val="004139BB"/>
    <w:rsid w:val="00413AC9"/>
    <w:rsid w:val="0041499C"/>
    <w:rsid w:val="0041510B"/>
    <w:rsid w:val="004163CF"/>
    <w:rsid w:val="004170B6"/>
    <w:rsid w:val="004177BC"/>
    <w:rsid w:val="0042001D"/>
    <w:rsid w:val="0042055A"/>
    <w:rsid w:val="00420853"/>
    <w:rsid w:val="00420D0E"/>
    <w:rsid w:val="00420F20"/>
    <w:rsid w:val="0042166E"/>
    <w:rsid w:val="004218F5"/>
    <w:rsid w:val="0042225F"/>
    <w:rsid w:val="00422C80"/>
    <w:rsid w:val="004236AD"/>
    <w:rsid w:val="004238DA"/>
    <w:rsid w:val="00423D06"/>
    <w:rsid w:val="00424402"/>
    <w:rsid w:val="004245DB"/>
    <w:rsid w:val="004246DF"/>
    <w:rsid w:val="004257AC"/>
    <w:rsid w:val="00427E55"/>
    <w:rsid w:val="004303A1"/>
    <w:rsid w:val="00430638"/>
    <w:rsid w:val="00431A79"/>
    <w:rsid w:val="00431B5F"/>
    <w:rsid w:val="00432B09"/>
    <w:rsid w:val="0043303A"/>
    <w:rsid w:val="004344DD"/>
    <w:rsid w:val="00434583"/>
    <w:rsid w:val="00434CAA"/>
    <w:rsid w:val="00434DD0"/>
    <w:rsid w:val="00435521"/>
    <w:rsid w:val="0043594F"/>
    <w:rsid w:val="0043743A"/>
    <w:rsid w:val="004376CF"/>
    <w:rsid w:val="00437704"/>
    <w:rsid w:val="004407FA"/>
    <w:rsid w:val="00441B4C"/>
    <w:rsid w:val="00442C3B"/>
    <w:rsid w:val="00442CAB"/>
    <w:rsid w:val="00443755"/>
    <w:rsid w:val="004438A0"/>
    <w:rsid w:val="00444D93"/>
    <w:rsid w:val="00445333"/>
    <w:rsid w:val="00445E63"/>
    <w:rsid w:val="0044751B"/>
    <w:rsid w:val="004476BD"/>
    <w:rsid w:val="0045031C"/>
    <w:rsid w:val="0045112A"/>
    <w:rsid w:val="00451642"/>
    <w:rsid w:val="004516E2"/>
    <w:rsid w:val="00453964"/>
    <w:rsid w:val="004559D8"/>
    <w:rsid w:val="00455E9A"/>
    <w:rsid w:val="004570CA"/>
    <w:rsid w:val="004577A2"/>
    <w:rsid w:val="004601D2"/>
    <w:rsid w:val="00461290"/>
    <w:rsid w:val="0046165E"/>
    <w:rsid w:val="0046201F"/>
    <w:rsid w:val="00462CFF"/>
    <w:rsid w:val="004632F2"/>
    <w:rsid w:val="00464CEF"/>
    <w:rsid w:val="00465082"/>
    <w:rsid w:val="004656AA"/>
    <w:rsid w:val="00466091"/>
    <w:rsid w:val="004660DA"/>
    <w:rsid w:val="004665D6"/>
    <w:rsid w:val="00466BC1"/>
    <w:rsid w:val="00467C44"/>
    <w:rsid w:val="00467DF3"/>
    <w:rsid w:val="0047011A"/>
    <w:rsid w:val="00470473"/>
    <w:rsid w:val="004706EF"/>
    <w:rsid w:val="0047159A"/>
    <w:rsid w:val="0047180D"/>
    <w:rsid w:val="004723C4"/>
    <w:rsid w:val="0047264E"/>
    <w:rsid w:val="00472659"/>
    <w:rsid w:val="004726C3"/>
    <w:rsid w:val="00473E15"/>
    <w:rsid w:val="00475E73"/>
    <w:rsid w:val="00476B1A"/>
    <w:rsid w:val="00477003"/>
    <w:rsid w:val="0047718A"/>
    <w:rsid w:val="00477914"/>
    <w:rsid w:val="00481443"/>
    <w:rsid w:val="00482151"/>
    <w:rsid w:val="00482E56"/>
    <w:rsid w:val="00483FFC"/>
    <w:rsid w:val="004843DA"/>
    <w:rsid w:val="004846E0"/>
    <w:rsid w:val="00486242"/>
    <w:rsid w:val="00486448"/>
    <w:rsid w:val="004869EE"/>
    <w:rsid w:val="00487A24"/>
    <w:rsid w:val="00487F44"/>
    <w:rsid w:val="004917BC"/>
    <w:rsid w:val="004927AD"/>
    <w:rsid w:val="00492E66"/>
    <w:rsid w:val="00493158"/>
    <w:rsid w:val="004937A1"/>
    <w:rsid w:val="00493B43"/>
    <w:rsid w:val="00494484"/>
    <w:rsid w:val="00494CF5"/>
    <w:rsid w:val="00495217"/>
    <w:rsid w:val="00496505"/>
    <w:rsid w:val="00496825"/>
    <w:rsid w:val="00496BA2"/>
    <w:rsid w:val="00497C19"/>
    <w:rsid w:val="004A01A7"/>
    <w:rsid w:val="004A0AAA"/>
    <w:rsid w:val="004A0B0C"/>
    <w:rsid w:val="004A0FBE"/>
    <w:rsid w:val="004A10E0"/>
    <w:rsid w:val="004A2438"/>
    <w:rsid w:val="004A3154"/>
    <w:rsid w:val="004A372F"/>
    <w:rsid w:val="004A3A64"/>
    <w:rsid w:val="004A51FE"/>
    <w:rsid w:val="004A570D"/>
    <w:rsid w:val="004A5794"/>
    <w:rsid w:val="004A610C"/>
    <w:rsid w:val="004A6B5E"/>
    <w:rsid w:val="004A6CC6"/>
    <w:rsid w:val="004A7638"/>
    <w:rsid w:val="004A76A0"/>
    <w:rsid w:val="004A7ECE"/>
    <w:rsid w:val="004B042D"/>
    <w:rsid w:val="004B15F6"/>
    <w:rsid w:val="004B1602"/>
    <w:rsid w:val="004B19AF"/>
    <w:rsid w:val="004B2196"/>
    <w:rsid w:val="004B31BE"/>
    <w:rsid w:val="004B3F18"/>
    <w:rsid w:val="004B4DA7"/>
    <w:rsid w:val="004B53EA"/>
    <w:rsid w:val="004B6589"/>
    <w:rsid w:val="004B667C"/>
    <w:rsid w:val="004B767C"/>
    <w:rsid w:val="004C10C9"/>
    <w:rsid w:val="004C12BA"/>
    <w:rsid w:val="004C1807"/>
    <w:rsid w:val="004C208B"/>
    <w:rsid w:val="004C29F2"/>
    <w:rsid w:val="004C2C16"/>
    <w:rsid w:val="004C2F9A"/>
    <w:rsid w:val="004C448C"/>
    <w:rsid w:val="004C6D2D"/>
    <w:rsid w:val="004C6FCF"/>
    <w:rsid w:val="004C7079"/>
    <w:rsid w:val="004C743B"/>
    <w:rsid w:val="004C7547"/>
    <w:rsid w:val="004C7BE9"/>
    <w:rsid w:val="004C7D94"/>
    <w:rsid w:val="004C7E0B"/>
    <w:rsid w:val="004D00BE"/>
    <w:rsid w:val="004D010D"/>
    <w:rsid w:val="004D0891"/>
    <w:rsid w:val="004D09E7"/>
    <w:rsid w:val="004D0E2D"/>
    <w:rsid w:val="004D155B"/>
    <w:rsid w:val="004D1992"/>
    <w:rsid w:val="004D1E67"/>
    <w:rsid w:val="004D1FBB"/>
    <w:rsid w:val="004D2C5A"/>
    <w:rsid w:val="004D46BC"/>
    <w:rsid w:val="004D4EA7"/>
    <w:rsid w:val="004D4EC4"/>
    <w:rsid w:val="004D5006"/>
    <w:rsid w:val="004D672B"/>
    <w:rsid w:val="004D6F79"/>
    <w:rsid w:val="004D7642"/>
    <w:rsid w:val="004E0127"/>
    <w:rsid w:val="004E046D"/>
    <w:rsid w:val="004E0657"/>
    <w:rsid w:val="004E10F7"/>
    <w:rsid w:val="004E1161"/>
    <w:rsid w:val="004E122E"/>
    <w:rsid w:val="004E2BB3"/>
    <w:rsid w:val="004E3647"/>
    <w:rsid w:val="004E39B5"/>
    <w:rsid w:val="004E41B7"/>
    <w:rsid w:val="004E5575"/>
    <w:rsid w:val="004E62E2"/>
    <w:rsid w:val="004E64D0"/>
    <w:rsid w:val="004E6A2C"/>
    <w:rsid w:val="004E6AEE"/>
    <w:rsid w:val="004E6D1B"/>
    <w:rsid w:val="004E6D64"/>
    <w:rsid w:val="004E6E9B"/>
    <w:rsid w:val="004E75E8"/>
    <w:rsid w:val="004F0422"/>
    <w:rsid w:val="004F046F"/>
    <w:rsid w:val="004F0EC6"/>
    <w:rsid w:val="004F0F05"/>
    <w:rsid w:val="004F1589"/>
    <w:rsid w:val="004F1912"/>
    <w:rsid w:val="004F2EC9"/>
    <w:rsid w:val="004F3084"/>
    <w:rsid w:val="004F4AE7"/>
    <w:rsid w:val="004F509F"/>
    <w:rsid w:val="004F515B"/>
    <w:rsid w:val="004F5772"/>
    <w:rsid w:val="004F57E5"/>
    <w:rsid w:val="004F6150"/>
    <w:rsid w:val="005004D9"/>
    <w:rsid w:val="00501581"/>
    <w:rsid w:val="0050196F"/>
    <w:rsid w:val="00502B63"/>
    <w:rsid w:val="00502E30"/>
    <w:rsid w:val="00504628"/>
    <w:rsid w:val="00504A48"/>
    <w:rsid w:val="00505C08"/>
    <w:rsid w:val="00505EF4"/>
    <w:rsid w:val="005063FA"/>
    <w:rsid w:val="00506DE3"/>
    <w:rsid w:val="00507B62"/>
    <w:rsid w:val="00507B6C"/>
    <w:rsid w:val="00510398"/>
    <w:rsid w:val="005103A6"/>
    <w:rsid w:val="00510563"/>
    <w:rsid w:val="00510EBE"/>
    <w:rsid w:val="00511593"/>
    <w:rsid w:val="005123F6"/>
    <w:rsid w:val="005124DB"/>
    <w:rsid w:val="005147F3"/>
    <w:rsid w:val="0051494F"/>
    <w:rsid w:val="00515051"/>
    <w:rsid w:val="00515DA2"/>
    <w:rsid w:val="00515E08"/>
    <w:rsid w:val="005166EA"/>
    <w:rsid w:val="00517088"/>
    <w:rsid w:val="00520308"/>
    <w:rsid w:val="00520669"/>
    <w:rsid w:val="00520A0F"/>
    <w:rsid w:val="00521E64"/>
    <w:rsid w:val="005225FA"/>
    <w:rsid w:val="00522E36"/>
    <w:rsid w:val="005237D8"/>
    <w:rsid w:val="005240DC"/>
    <w:rsid w:val="00524AE9"/>
    <w:rsid w:val="00524DA5"/>
    <w:rsid w:val="005252D4"/>
    <w:rsid w:val="005301B0"/>
    <w:rsid w:val="005303EC"/>
    <w:rsid w:val="00531814"/>
    <w:rsid w:val="00531940"/>
    <w:rsid w:val="00531D83"/>
    <w:rsid w:val="0053204E"/>
    <w:rsid w:val="005321C6"/>
    <w:rsid w:val="00532270"/>
    <w:rsid w:val="005323AA"/>
    <w:rsid w:val="00532CFB"/>
    <w:rsid w:val="0053355F"/>
    <w:rsid w:val="00533B6F"/>
    <w:rsid w:val="00534E3D"/>
    <w:rsid w:val="0053506A"/>
    <w:rsid w:val="005360E4"/>
    <w:rsid w:val="00536964"/>
    <w:rsid w:val="005371EC"/>
    <w:rsid w:val="00537A9D"/>
    <w:rsid w:val="005402C7"/>
    <w:rsid w:val="005406EC"/>
    <w:rsid w:val="00540AE9"/>
    <w:rsid w:val="00540BD3"/>
    <w:rsid w:val="00540BE6"/>
    <w:rsid w:val="00540DBA"/>
    <w:rsid w:val="00541000"/>
    <w:rsid w:val="00541268"/>
    <w:rsid w:val="005428FF"/>
    <w:rsid w:val="005441AF"/>
    <w:rsid w:val="00544516"/>
    <w:rsid w:val="005445E5"/>
    <w:rsid w:val="00544D0E"/>
    <w:rsid w:val="0054604E"/>
    <w:rsid w:val="0054661E"/>
    <w:rsid w:val="005479B8"/>
    <w:rsid w:val="00547A23"/>
    <w:rsid w:val="005505DB"/>
    <w:rsid w:val="00550F2C"/>
    <w:rsid w:val="00552888"/>
    <w:rsid w:val="00553450"/>
    <w:rsid w:val="005534A1"/>
    <w:rsid w:val="005536B5"/>
    <w:rsid w:val="005537DD"/>
    <w:rsid w:val="00553DCE"/>
    <w:rsid w:val="00554CB9"/>
    <w:rsid w:val="00555343"/>
    <w:rsid w:val="00555509"/>
    <w:rsid w:val="00555519"/>
    <w:rsid w:val="00556D94"/>
    <w:rsid w:val="00557B42"/>
    <w:rsid w:val="00557C13"/>
    <w:rsid w:val="00561CA0"/>
    <w:rsid w:val="00561D00"/>
    <w:rsid w:val="005634F5"/>
    <w:rsid w:val="00563639"/>
    <w:rsid w:val="00564D8E"/>
    <w:rsid w:val="005655AC"/>
    <w:rsid w:val="00565B6B"/>
    <w:rsid w:val="00565C37"/>
    <w:rsid w:val="005660DE"/>
    <w:rsid w:val="005662B8"/>
    <w:rsid w:val="00566651"/>
    <w:rsid w:val="00566FE7"/>
    <w:rsid w:val="0056737A"/>
    <w:rsid w:val="0056744B"/>
    <w:rsid w:val="00567BD2"/>
    <w:rsid w:val="005707CB"/>
    <w:rsid w:val="005707E6"/>
    <w:rsid w:val="00570D6D"/>
    <w:rsid w:val="005711D3"/>
    <w:rsid w:val="00571900"/>
    <w:rsid w:val="00571DA4"/>
    <w:rsid w:val="00573680"/>
    <w:rsid w:val="00573B23"/>
    <w:rsid w:val="00574A6A"/>
    <w:rsid w:val="00574DA2"/>
    <w:rsid w:val="0057569C"/>
    <w:rsid w:val="00575749"/>
    <w:rsid w:val="00575E29"/>
    <w:rsid w:val="00576B23"/>
    <w:rsid w:val="00576E04"/>
    <w:rsid w:val="00577652"/>
    <w:rsid w:val="00577BA0"/>
    <w:rsid w:val="005805F4"/>
    <w:rsid w:val="00580FA2"/>
    <w:rsid w:val="00581814"/>
    <w:rsid w:val="00581EA2"/>
    <w:rsid w:val="005823D7"/>
    <w:rsid w:val="005826F6"/>
    <w:rsid w:val="00583736"/>
    <w:rsid w:val="005839A8"/>
    <w:rsid w:val="00584957"/>
    <w:rsid w:val="00584D64"/>
    <w:rsid w:val="005857EB"/>
    <w:rsid w:val="00585B74"/>
    <w:rsid w:val="00585E13"/>
    <w:rsid w:val="00586306"/>
    <w:rsid w:val="00587198"/>
    <w:rsid w:val="00587415"/>
    <w:rsid w:val="00587BCD"/>
    <w:rsid w:val="005906D1"/>
    <w:rsid w:val="0059104D"/>
    <w:rsid w:val="00591837"/>
    <w:rsid w:val="005933CA"/>
    <w:rsid w:val="00593446"/>
    <w:rsid w:val="00593C14"/>
    <w:rsid w:val="00594518"/>
    <w:rsid w:val="005967A2"/>
    <w:rsid w:val="0059685C"/>
    <w:rsid w:val="00596A16"/>
    <w:rsid w:val="00597B05"/>
    <w:rsid w:val="00597C5D"/>
    <w:rsid w:val="005A04B8"/>
    <w:rsid w:val="005A0772"/>
    <w:rsid w:val="005A16CD"/>
    <w:rsid w:val="005A1BCF"/>
    <w:rsid w:val="005A248F"/>
    <w:rsid w:val="005A306F"/>
    <w:rsid w:val="005A3665"/>
    <w:rsid w:val="005A4523"/>
    <w:rsid w:val="005A4F7C"/>
    <w:rsid w:val="005A5541"/>
    <w:rsid w:val="005A5812"/>
    <w:rsid w:val="005A60D5"/>
    <w:rsid w:val="005A6A6D"/>
    <w:rsid w:val="005A6A74"/>
    <w:rsid w:val="005B13DB"/>
    <w:rsid w:val="005B1E53"/>
    <w:rsid w:val="005B1EF4"/>
    <w:rsid w:val="005B224C"/>
    <w:rsid w:val="005B2553"/>
    <w:rsid w:val="005B2809"/>
    <w:rsid w:val="005B29FF"/>
    <w:rsid w:val="005B2F61"/>
    <w:rsid w:val="005B32E8"/>
    <w:rsid w:val="005B376D"/>
    <w:rsid w:val="005B4367"/>
    <w:rsid w:val="005B4E66"/>
    <w:rsid w:val="005B5280"/>
    <w:rsid w:val="005B57AA"/>
    <w:rsid w:val="005B7467"/>
    <w:rsid w:val="005B75E6"/>
    <w:rsid w:val="005C057A"/>
    <w:rsid w:val="005C149B"/>
    <w:rsid w:val="005C1A0C"/>
    <w:rsid w:val="005C1AC0"/>
    <w:rsid w:val="005C1D02"/>
    <w:rsid w:val="005C24C5"/>
    <w:rsid w:val="005C2962"/>
    <w:rsid w:val="005C305D"/>
    <w:rsid w:val="005C34D7"/>
    <w:rsid w:val="005C38C9"/>
    <w:rsid w:val="005C45C7"/>
    <w:rsid w:val="005C5627"/>
    <w:rsid w:val="005C5CEF"/>
    <w:rsid w:val="005C5E9C"/>
    <w:rsid w:val="005C771E"/>
    <w:rsid w:val="005C7FB4"/>
    <w:rsid w:val="005D00A2"/>
    <w:rsid w:val="005D088F"/>
    <w:rsid w:val="005D0EAA"/>
    <w:rsid w:val="005D0F4B"/>
    <w:rsid w:val="005D1955"/>
    <w:rsid w:val="005D231A"/>
    <w:rsid w:val="005D2B99"/>
    <w:rsid w:val="005D2F11"/>
    <w:rsid w:val="005D3503"/>
    <w:rsid w:val="005D39A3"/>
    <w:rsid w:val="005D4C78"/>
    <w:rsid w:val="005D73E8"/>
    <w:rsid w:val="005D7FF4"/>
    <w:rsid w:val="005E0522"/>
    <w:rsid w:val="005E0A52"/>
    <w:rsid w:val="005E0D71"/>
    <w:rsid w:val="005E0F6B"/>
    <w:rsid w:val="005E1672"/>
    <w:rsid w:val="005E2C80"/>
    <w:rsid w:val="005E3FE8"/>
    <w:rsid w:val="005E44CD"/>
    <w:rsid w:val="005E4608"/>
    <w:rsid w:val="005E4689"/>
    <w:rsid w:val="005E4CB8"/>
    <w:rsid w:val="005E4E87"/>
    <w:rsid w:val="005E52BE"/>
    <w:rsid w:val="005E5669"/>
    <w:rsid w:val="005E5B86"/>
    <w:rsid w:val="005E606C"/>
    <w:rsid w:val="005E6753"/>
    <w:rsid w:val="005E6AAF"/>
    <w:rsid w:val="005E6C36"/>
    <w:rsid w:val="005E78B0"/>
    <w:rsid w:val="005E7C7E"/>
    <w:rsid w:val="005F05B8"/>
    <w:rsid w:val="005F07A3"/>
    <w:rsid w:val="005F119B"/>
    <w:rsid w:val="005F1B87"/>
    <w:rsid w:val="005F1CB7"/>
    <w:rsid w:val="005F20CD"/>
    <w:rsid w:val="005F25BB"/>
    <w:rsid w:val="005F3CA9"/>
    <w:rsid w:val="005F433B"/>
    <w:rsid w:val="005F4469"/>
    <w:rsid w:val="005F47D6"/>
    <w:rsid w:val="005F558D"/>
    <w:rsid w:val="005F56C2"/>
    <w:rsid w:val="005F646F"/>
    <w:rsid w:val="005F64C8"/>
    <w:rsid w:val="005F6A26"/>
    <w:rsid w:val="005F6B7D"/>
    <w:rsid w:val="005F76CC"/>
    <w:rsid w:val="005F7AC4"/>
    <w:rsid w:val="005F7B4D"/>
    <w:rsid w:val="005F7DF0"/>
    <w:rsid w:val="00600389"/>
    <w:rsid w:val="00600E4D"/>
    <w:rsid w:val="00600F4C"/>
    <w:rsid w:val="00601409"/>
    <w:rsid w:val="0060166E"/>
    <w:rsid w:val="0060295F"/>
    <w:rsid w:val="00602E2E"/>
    <w:rsid w:val="00602F76"/>
    <w:rsid w:val="0060367C"/>
    <w:rsid w:val="00603A5B"/>
    <w:rsid w:val="00603B19"/>
    <w:rsid w:val="006041C1"/>
    <w:rsid w:val="0060534D"/>
    <w:rsid w:val="00605863"/>
    <w:rsid w:val="00605919"/>
    <w:rsid w:val="00605CB1"/>
    <w:rsid w:val="00606733"/>
    <w:rsid w:val="00606735"/>
    <w:rsid w:val="00606738"/>
    <w:rsid w:val="00610192"/>
    <w:rsid w:val="00610222"/>
    <w:rsid w:val="00610926"/>
    <w:rsid w:val="00610EA6"/>
    <w:rsid w:val="00610F2B"/>
    <w:rsid w:val="0061116B"/>
    <w:rsid w:val="00611183"/>
    <w:rsid w:val="006112E7"/>
    <w:rsid w:val="006114C7"/>
    <w:rsid w:val="006117FB"/>
    <w:rsid w:val="00611F7F"/>
    <w:rsid w:val="006121D7"/>
    <w:rsid w:val="006135B5"/>
    <w:rsid w:val="00614617"/>
    <w:rsid w:val="006148C4"/>
    <w:rsid w:val="00614A32"/>
    <w:rsid w:val="00614FA6"/>
    <w:rsid w:val="006163A3"/>
    <w:rsid w:val="00617162"/>
    <w:rsid w:val="00617671"/>
    <w:rsid w:val="0061784D"/>
    <w:rsid w:val="0062076C"/>
    <w:rsid w:val="00621A7D"/>
    <w:rsid w:val="00621A9F"/>
    <w:rsid w:val="006227D6"/>
    <w:rsid w:val="00622900"/>
    <w:rsid w:val="00622B34"/>
    <w:rsid w:val="00622BF3"/>
    <w:rsid w:val="00622C25"/>
    <w:rsid w:val="00622F68"/>
    <w:rsid w:val="00623A18"/>
    <w:rsid w:val="00624244"/>
    <w:rsid w:val="00625A76"/>
    <w:rsid w:val="00626011"/>
    <w:rsid w:val="0062690A"/>
    <w:rsid w:val="00626F73"/>
    <w:rsid w:val="00630BC1"/>
    <w:rsid w:val="00631750"/>
    <w:rsid w:val="006323CE"/>
    <w:rsid w:val="00632744"/>
    <w:rsid w:val="00632A94"/>
    <w:rsid w:val="00632C99"/>
    <w:rsid w:val="00632FC5"/>
    <w:rsid w:val="00633AFE"/>
    <w:rsid w:val="00633FFE"/>
    <w:rsid w:val="006346A8"/>
    <w:rsid w:val="00634D1D"/>
    <w:rsid w:val="00634F5C"/>
    <w:rsid w:val="006352C7"/>
    <w:rsid w:val="00635DC9"/>
    <w:rsid w:val="00636522"/>
    <w:rsid w:val="00637027"/>
    <w:rsid w:val="0063729B"/>
    <w:rsid w:val="00637CE3"/>
    <w:rsid w:val="00640016"/>
    <w:rsid w:val="006406CB"/>
    <w:rsid w:val="00640991"/>
    <w:rsid w:val="00642032"/>
    <w:rsid w:val="00643B1E"/>
    <w:rsid w:val="00643C9A"/>
    <w:rsid w:val="00643E5D"/>
    <w:rsid w:val="0064416E"/>
    <w:rsid w:val="0064424E"/>
    <w:rsid w:val="00645228"/>
    <w:rsid w:val="006453A6"/>
    <w:rsid w:val="00646628"/>
    <w:rsid w:val="00646C32"/>
    <w:rsid w:val="00646F52"/>
    <w:rsid w:val="006500ED"/>
    <w:rsid w:val="00650BEC"/>
    <w:rsid w:val="00650F4A"/>
    <w:rsid w:val="00651473"/>
    <w:rsid w:val="006519F2"/>
    <w:rsid w:val="0065355A"/>
    <w:rsid w:val="006539DB"/>
    <w:rsid w:val="00654275"/>
    <w:rsid w:val="0065697F"/>
    <w:rsid w:val="00656EA2"/>
    <w:rsid w:val="006570D8"/>
    <w:rsid w:val="006572DE"/>
    <w:rsid w:val="006613B8"/>
    <w:rsid w:val="00661C1F"/>
    <w:rsid w:val="00661C7A"/>
    <w:rsid w:val="00661F71"/>
    <w:rsid w:val="006620AC"/>
    <w:rsid w:val="00662162"/>
    <w:rsid w:val="006622CA"/>
    <w:rsid w:val="00662B52"/>
    <w:rsid w:val="0066459F"/>
    <w:rsid w:val="0066485A"/>
    <w:rsid w:val="00664A07"/>
    <w:rsid w:val="00664C4F"/>
    <w:rsid w:val="00664F5D"/>
    <w:rsid w:val="0066512B"/>
    <w:rsid w:val="00665D0E"/>
    <w:rsid w:val="00666052"/>
    <w:rsid w:val="0066606D"/>
    <w:rsid w:val="006666D1"/>
    <w:rsid w:val="00666B29"/>
    <w:rsid w:val="0066706B"/>
    <w:rsid w:val="0066711E"/>
    <w:rsid w:val="006672E0"/>
    <w:rsid w:val="00667904"/>
    <w:rsid w:val="00667A43"/>
    <w:rsid w:val="00667B65"/>
    <w:rsid w:val="00670240"/>
    <w:rsid w:val="00670408"/>
    <w:rsid w:val="006705F4"/>
    <w:rsid w:val="006709C6"/>
    <w:rsid w:val="00670DF2"/>
    <w:rsid w:val="00671136"/>
    <w:rsid w:val="0067119C"/>
    <w:rsid w:val="00671B11"/>
    <w:rsid w:val="00672163"/>
    <w:rsid w:val="0067220E"/>
    <w:rsid w:val="0067238B"/>
    <w:rsid w:val="0067273E"/>
    <w:rsid w:val="00672DDA"/>
    <w:rsid w:val="00672E71"/>
    <w:rsid w:val="00672E9B"/>
    <w:rsid w:val="006737E1"/>
    <w:rsid w:val="00675778"/>
    <w:rsid w:val="00675FD4"/>
    <w:rsid w:val="00676563"/>
    <w:rsid w:val="0067666C"/>
    <w:rsid w:val="006766E2"/>
    <w:rsid w:val="006768D1"/>
    <w:rsid w:val="00677065"/>
    <w:rsid w:val="00677FC7"/>
    <w:rsid w:val="00680041"/>
    <w:rsid w:val="00680581"/>
    <w:rsid w:val="00680685"/>
    <w:rsid w:val="006820B1"/>
    <w:rsid w:val="0068235D"/>
    <w:rsid w:val="0068596D"/>
    <w:rsid w:val="00686205"/>
    <w:rsid w:val="0068664D"/>
    <w:rsid w:val="00686913"/>
    <w:rsid w:val="00686980"/>
    <w:rsid w:val="00686E83"/>
    <w:rsid w:val="00687030"/>
    <w:rsid w:val="00687DCA"/>
    <w:rsid w:val="00690A14"/>
    <w:rsid w:val="00690D84"/>
    <w:rsid w:val="00691129"/>
    <w:rsid w:val="006919F6"/>
    <w:rsid w:val="00692044"/>
    <w:rsid w:val="0069227E"/>
    <w:rsid w:val="0069294F"/>
    <w:rsid w:val="00692DA5"/>
    <w:rsid w:val="006937A5"/>
    <w:rsid w:val="0069393D"/>
    <w:rsid w:val="00693967"/>
    <w:rsid w:val="00695277"/>
    <w:rsid w:val="0069559F"/>
    <w:rsid w:val="00696034"/>
    <w:rsid w:val="0069668C"/>
    <w:rsid w:val="00696954"/>
    <w:rsid w:val="00696A5F"/>
    <w:rsid w:val="006A0060"/>
    <w:rsid w:val="006A04E1"/>
    <w:rsid w:val="006A30CB"/>
    <w:rsid w:val="006A3B0E"/>
    <w:rsid w:val="006A3F00"/>
    <w:rsid w:val="006A49B5"/>
    <w:rsid w:val="006A4CFF"/>
    <w:rsid w:val="006A4F58"/>
    <w:rsid w:val="006A5093"/>
    <w:rsid w:val="006A54D3"/>
    <w:rsid w:val="006A59B1"/>
    <w:rsid w:val="006A6847"/>
    <w:rsid w:val="006A706B"/>
    <w:rsid w:val="006A71C3"/>
    <w:rsid w:val="006A7CA3"/>
    <w:rsid w:val="006B00A7"/>
    <w:rsid w:val="006B00EA"/>
    <w:rsid w:val="006B0DAB"/>
    <w:rsid w:val="006B1B95"/>
    <w:rsid w:val="006B3643"/>
    <w:rsid w:val="006B49C3"/>
    <w:rsid w:val="006B6706"/>
    <w:rsid w:val="006B6CDC"/>
    <w:rsid w:val="006B7060"/>
    <w:rsid w:val="006B7EEB"/>
    <w:rsid w:val="006C0E8E"/>
    <w:rsid w:val="006C24F5"/>
    <w:rsid w:val="006C3B51"/>
    <w:rsid w:val="006C3F5E"/>
    <w:rsid w:val="006C41FC"/>
    <w:rsid w:val="006C42E1"/>
    <w:rsid w:val="006C4C29"/>
    <w:rsid w:val="006C4ED6"/>
    <w:rsid w:val="006C4F2B"/>
    <w:rsid w:val="006C573F"/>
    <w:rsid w:val="006C57C6"/>
    <w:rsid w:val="006C6C0A"/>
    <w:rsid w:val="006C6FCA"/>
    <w:rsid w:val="006C77A1"/>
    <w:rsid w:val="006C7B0B"/>
    <w:rsid w:val="006C7F60"/>
    <w:rsid w:val="006D0639"/>
    <w:rsid w:val="006D0763"/>
    <w:rsid w:val="006D0B6E"/>
    <w:rsid w:val="006D0C0C"/>
    <w:rsid w:val="006D183B"/>
    <w:rsid w:val="006D1BF1"/>
    <w:rsid w:val="006D30E4"/>
    <w:rsid w:val="006D38C1"/>
    <w:rsid w:val="006D3D13"/>
    <w:rsid w:val="006D4A25"/>
    <w:rsid w:val="006D55C5"/>
    <w:rsid w:val="006D620D"/>
    <w:rsid w:val="006D62A7"/>
    <w:rsid w:val="006D7785"/>
    <w:rsid w:val="006D7F16"/>
    <w:rsid w:val="006E0B3C"/>
    <w:rsid w:val="006E2129"/>
    <w:rsid w:val="006E388D"/>
    <w:rsid w:val="006E47E2"/>
    <w:rsid w:val="006E5644"/>
    <w:rsid w:val="006E56B8"/>
    <w:rsid w:val="006E653B"/>
    <w:rsid w:val="006E6CAF"/>
    <w:rsid w:val="006E764C"/>
    <w:rsid w:val="006E76ED"/>
    <w:rsid w:val="006F01CA"/>
    <w:rsid w:val="006F0C53"/>
    <w:rsid w:val="006F1837"/>
    <w:rsid w:val="006F276D"/>
    <w:rsid w:val="006F2A5C"/>
    <w:rsid w:val="006F2C8F"/>
    <w:rsid w:val="006F2F94"/>
    <w:rsid w:val="006F35D6"/>
    <w:rsid w:val="006F35FB"/>
    <w:rsid w:val="006F3763"/>
    <w:rsid w:val="006F390B"/>
    <w:rsid w:val="006F3ACC"/>
    <w:rsid w:val="006F3BB1"/>
    <w:rsid w:val="006F40E4"/>
    <w:rsid w:val="006F4195"/>
    <w:rsid w:val="006F429B"/>
    <w:rsid w:val="006F472D"/>
    <w:rsid w:val="006F4F9C"/>
    <w:rsid w:val="006F5A9D"/>
    <w:rsid w:val="006F5C07"/>
    <w:rsid w:val="006F5E34"/>
    <w:rsid w:val="006F5F8E"/>
    <w:rsid w:val="006F6215"/>
    <w:rsid w:val="006F72F0"/>
    <w:rsid w:val="006F75F6"/>
    <w:rsid w:val="006F7A78"/>
    <w:rsid w:val="006F7EC3"/>
    <w:rsid w:val="00700911"/>
    <w:rsid w:val="00701219"/>
    <w:rsid w:val="00703DE1"/>
    <w:rsid w:val="007041CE"/>
    <w:rsid w:val="00704980"/>
    <w:rsid w:val="00704D88"/>
    <w:rsid w:val="00704F65"/>
    <w:rsid w:val="00705230"/>
    <w:rsid w:val="007052F6"/>
    <w:rsid w:val="00705818"/>
    <w:rsid w:val="00705A05"/>
    <w:rsid w:val="0070671F"/>
    <w:rsid w:val="00706A70"/>
    <w:rsid w:val="007070DE"/>
    <w:rsid w:val="00707209"/>
    <w:rsid w:val="007073B2"/>
    <w:rsid w:val="0070792F"/>
    <w:rsid w:val="00707A2B"/>
    <w:rsid w:val="00707E45"/>
    <w:rsid w:val="0071027A"/>
    <w:rsid w:val="00710752"/>
    <w:rsid w:val="00710A75"/>
    <w:rsid w:val="00711641"/>
    <w:rsid w:val="0071349A"/>
    <w:rsid w:val="00713BDF"/>
    <w:rsid w:val="00714DDC"/>
    <w:rsid w:val="00714E7F"/>
    <w:rsid w:val="007150BA"/>
    <w:rsid w:val="00715C6E"/>
    <w:rsid w:val="0071634C"/>
    <w:rsid w:val="007168F9"/>
    <w:rsid w:val="007170E3"/>
    <w:rsid w:val="0072045F"/>
    <w:rsid w:val="00720905"/>
    <w:rsid w:val="00720FF8"/>
    <w:rsid w:val="00722BBD"/>
    <w:rsid w:val="00722D69"/>
    <w:rsid w:val="0072370E"/>
    <w:rsid w:val="007269ED"/>
    <w:rsid w:val="00727351"/>
    <w:rsid w:val="00727A09"/>
    <w:rsid w:val="00727A40"/>
    <w:rsid w:val="00727B0A"/>
    <w:rsid w:val="00730433"/>
    <w:rsid w:val="00731D1B"/>
    <w:rsid w:val="007324F4"/>
    <w:rsid w:val="0073376E"/>
    <w:rsid w:val="00733F68"/>
    <w:rsid w:val="007349D8"/>
    <w:rsid w:val="0073576B"/>
    <w:rsid w:val="00735F3B"/>
    <w:rsid w:val="00737E3C"/>
    <w:rsid w:val="00741A9A"/>
    <w:rsid w:val="00742125"/>
    <w:rsid w:val="00742507"/>
    <w:rsid w:val="00742E25"/>
    <w:rsid w:val="00743156"/>
    <w:rsid w:val="00744744"/>
    <w:rsid w:val="0074536D"/>
    <w:rsid w:val="00745F42"/>
    <w:rsid w:val="00745FC9"/>
    <w:rsid w:val="00746B69"/>
    <w:rsid w:val="00746C33"/>
    <w:rsid w:val="00747FAC"/>
    <w:rsid w:val="0075096A"/>
    <w:rsid w:val="007519E8"/>
    <w:rsid w:val="0075297A"/>
    <w:rsid w:val="0075299C"/>
    <w:rsid w:val="00753372"/>
    <w:rsid w:val="00753562"/>
    <w:rsid w:val="007537DC"/>
    <w:rsid w:val="00753B50"/>
    <w:rsid w:val="00753FD9"/>
    <w:rsid w:val="007552A0"/>
    <w:rsid w:val="00755416"/>
    <w:rsid w:val="00755D99"/>
    <w:rsid w:val="00755FE7"/>
    <w:rsid w:val="007569C9"/>
    <w:rsid w:val="00756A4B"/>
    <w:rsid w:val="00756EE4"/>
    <w:rsid w:val="00757C9E"/>
    <w:rsid w:val="00760458"/>
    <w:rsid w:val="0076142F"/>
    <w:rsid w:val="00762691"/>
    <w:rsid w:val="00762B42"/>
    <w:rsid w:val="00762DE4"/>
    <w:rsid w:val="007640DC"/>
    <w:rsid w:val="007643B8"/>
    <w:rsid w:val="007645BC"/>
    <w:rsid w:val="00764D1E"/>
    <w:rsid w:val="00764FA4"/>
    <w:rsid w:val="0076518B"/>
    <w:rsid w:val="007655DE"/>
    <w:rsid w:val="00765832"/>
    <w:rsid w:val="0076592C"/>
    <w:rsid w:val="00765D8E"/>
    <w:rsid w:val="00766E88"/>
    <w:rsid w:val="00767858"/>
    <w:rsid w:val="00767A34"/>
    <w:rsid w:val="00767AFB"/>
    <w:rsid w:val="0077071D"/>
    <w:rsid w:val="00770CE7"/>
    <w:rsid w:val="0077141A"/>
    <w:rsid w:val="007717B2"/>
    <w:rsid w:val="00771CF7"/>
    <w:rsid w:val="007721DF"/>
    <w:rsid w:val="00772967"/>
    <w:rsid w:val="00772C67"/>
    <w:rsid w:val="00773357"/>
    <w:rsid w:val="007741DB"/>
    <w:rsid w:val="007744F1"/>
    <w:rsid w:val="00775F7C"/>
    <w:rsid w:val="0077628C"/>
    <w:rsid w:val="00776BA5"/>
    <w:rsid w:val="00776E4D"/>
    <w:rsid w:val="007772CF"/>
    <w:rsid w:val="007772D1"/>
    <w:rsid w:val="007777EE"/>
    <w:rsid w:val="00777829"/>
    <w:rsid w:val="007779FF"/>
    <w:rsid w:val="00781780"/>
    <w:rsid w:val="00781806"/>
    <w:rsid w:val="0078186B"/>
    <w:rsid w:val="0078223D"/>
    <w:rsid w:val="0078256A"/>
    <w:rsid w:val="00782EB4"/>
    <w:rsid w:val="00782EE3"/>
    <w:rsid w:val="00783B36"/>
    <w:rsid w:val="00783D26"/>
    <w:rsid w:val="00785414"/>
    <w:rsid w:val="0078635C"/>
    <w:rsid w:val="00786A9F"/>
    <w:rsid w:val="00787833"/>
    <w:rsid w:val="00787853"/>
    <w:rsid w:val="00787B6F"/>
    <w:rsid w:val="00790265"/>
    <w:rsid w:val="00790BA7"/>
    <w:rsid w:val="00790CD9"/>
    <w:rsid w:val="00790F11"/>
    <w:rsid w:val="0079157C"/>
    <w:rsid w:val="0079442C"/>
    <w:rsid w:val="00795367"/>
    <w:rsid w:val="00795B5C"/>
    <w:rsid w:val="00795BB7"/>
    <w:rsid w:val="0079618B"/>
    <w:rsid w:val="0079643A"/>
    <w:rsid w:val="0079662E"/>
    <w:rsid w:val="00797281"/>
    <w:rsid w:val="007A01C2"/>
    <w:rsid w:val="007A04FB"/>
    <w:rsid w:val="007A0591"/>
    <w:rsid w:val="007A081A"/>
    <w:rsid w:val="007A1023"/>
    <w:rsid w:val="007A11BE"/>
    <w:rsid w:val="007A1CFC"/>
    <w:rsid w:val="007A23C2"/>
    <w:rsid w:val="007A2D07"/>
    <w:rsid w:val="007A2EE4"/>
    <w:rsid w:val="007A3292"/>
    <w:rsid w:val="007A3A91"/>
    <w:rsid w:val="007A3BD5"/>
    <w:rsid w:val="007A3E19"/>
    <w:rsid w:val="007A3FD9"/>
    <w:rsid w:val="007A4330"/>
    <w:rsid w:val="007A5BFE"/>
    <w:rsid w:val="007A62E0"/>
    <w:rsid w:val="007A67F4"/>
    <w:rsid w:val="007A6E06"/>
    <w:rsid w:val="007A770E"/>
    <w:rsid w:val="007A79FC"/>
    <w:rsid w:val="007A7C27"/>
    <w:rsid w:val="007A7EDA"/>
    <w:rsid w:val="007B1245"/>
    <w:rsid w:val="007B149E"/>
    <w:rsid w:val="007B1516"/>
    <w:rsid w:val="007B1D50"/>
    <w:rsid w:val="007B2DC6"/>
    <w:rsid w:val="007B2F41"/>
    <w:rsid w:val="007B2F7B"/>
    <w:rsid w:val="007B301F"/>
    <w:rsid w:val="007B324A"/>
    <w:rsid w:val="007B58BE"/>
    <w:rsid w:val="007B5E30"/>
    <w:rsid w:val="007B65DF"/>
    <w:rsid w:val="007B6F15"/>
    <w:rsid w:val="007B7D19"/>
    <w:rsid w:val="007C01F5"/>
    <w:rsid w:val="007C0273"/>
    <w:rsid w:val="007C09DE"/>
    <w:rsid w:val="007C0E0E"/>
    <w:rsid w:val="007C12EE"/>
    <w:rsid w:val="007C1420"/>
    <w:rsid w:val="007C152B"/>
    <w:rsid w:val="007C1DCA"/>
    <w:rsid w:val="007C21E1"/>
    <w:rsid w:val="007C22BF"/>
    <w:rsid w:val="007C274B"/>
    <w:rsid w:val="007C2C7D"/>
    <w:rsid w:val="007C3299"/>
    <w:rsid w:val="007C383B"/>
    <w:rsid w:val="007C3B56"/>
    <w:rsid w:val="007C40FE"/>
    <w:rsid w:val="007C4347"/>
    <w:rsid w:val="007C46F0"/>
    <w:rsid w:val="007C520E"/>
    <w:rsid w:val="007C604D"/>
    <w:rsid w:val="007C6614"/>
    <w:rsid w:val="007C69B0"/>
    <w:rsid w:val="007C72E3"/>
    <w:rsid w:val="007C72E9"/>
    <w:rsid w:val="007D263E"/>
    <w:rsid w:val="007D2B72"/>
    <w:rsid w:val="007D39F6"/>
    <w:rsid w:val="007D3DD9"/>
    <w:rsid w:val="007D4ED1"/>
    <w:rsid w:val="007D5DA8"/>
    <w:rsid w:val="007D5DB2"/>
    <w:rsid w:val="007D73A0"/>
    <w:rsid w:val="007D790F"/>
    <w:rsid w:val="007D7FFD"/>
    <w:rsid w:val="007E1D97"/>
    <w:rsid w:val="007E1FC1"/>
    <w:rsid w:val="007E2508"/>
    <w:rsid w:val="007E265B"/>
    <w:rsid w:val="007E2719"/>
    <w:rsid w:val="007E2AC7"/>
    <w:rsid w:val="007E338E"/>
    <w:rsid w:val="007E41E0"/>
    <w:rsid w:val="007E47EF"/>
    <w:rsid w:val="007E4EF2"/>
    <w:rsid w:val="007E55D2"/>
    <w:rsid w:val="007E5A17"/>
    <w:rsid w:val="007E73DC"/>
    <w:rsid w:val="007E7E5E"/>
    <w:rsid w:val="007F007B"/>
    <w:rsid w:val="007F0197"/>
    <w:rsid w:val="007F06EC"/>
    <w:rsid w:val="007F0D53"/>
    <w:rsid w:val="007F1DBB"/>
    <w:rsid w:val="007F2562"/>
    <w:rsid w:val="007F2846"/>
    <w:rsid w:val="007F2DCD"/>
    <w:rsid w:val="007F3318"/>
    <w:rsid w:val="007F374B"/>
    <w:rsid w:val="007F37DD"/>
    <w:rsid w:val="007F3B70"/>
    <w:rsid w:val="007F41E3"/>
    <w:rsid w:val="007F4A30"/>
    <w:rsid w:val="007F5AAA"/>
    <w:rsid w:val="007F674D"/>
    <w:rsid w:val="007F7B8F"/>
    <w:rsid w:val="00800858"/>
    <w:rsid w:val="00802810"/>
    <w:rsid w:val="008028ED"/>
    <w:rsid w:val="00804138"/>
    <w:rsid w:val="008042FF"/>
    <w:rsid w:val="00804BB3"/>
    <w:rsid w:val="0080573D"/>
    <w:rsid w:val="00806B83"/>
    <w:rsid w:val="00807408"/>
    <w:rsid w:val="00807BB5"/>
    <w:rsid w:val="00810A6D"/>
    <w:rsid w:val="00811267"/>
    <w:rsid w:val="008120C4"/>
    <w:rsid w:val="00812149"/>
    <w:rsid w:val="008127CF"/>
    <w:rsid w:val="00812BF4"/>
    <w:rsid w:val="00812E85"/>
    <w:rsid w:val="00812ECF"/>
    <w:rsid w:val="00813117"/>
    <w:rsid w:val="008134F3"/>
    <w:rsid w:val="00813928"/>
    <w:rsid w:val="00813BA9"/>
    <w:rsid w:val="00813FB6"/>
    <w:rsid w:val="008156F1"/>
    <w:rsid w:val="00816699"/>
    <w:rsid w:val="00816716"/>
    <w:rsid w:val="008179E3"/>
    <w:rsid w:val="008201C9"/>
    <w:rsid w:val="008206E7"/>
    <w:rsid w:val="00820E73"/>
    <w:rsid w:val="00820EF6"/>
    <w:rsid w:val="00822409"/>
    <w:rsid w:val="008232B0"/>
    <w:rsid w:val="00823530"/>
    <w:rsid w:val="00823799"/>
    <w:rsid w:val="0082404A"/>
    <w:rsid w:val="00824B79"/>
    <w:rsid w:val="00825681"/>
    <w:rsid w:val="00826AF7"/>
    <w:rsid w:val="00826B0A"/>
    <w:rsid w:val="00826DDF"/>
    <w:rsid w:val="0082720C"/>
    <w:rsid w:val="008274FC"/>
    <w:rsid w:val="0082773F"/>
    <w:rsid w:val="00827E6E"/>
    <w:rsid w:val="00830DF9"/>
    <w:rsid w:val="00830F5E"/>
    <w:rsid w:val="008317DF"/>
    <w:rsid w:val="008320F0"/>
    <w:rsid w:val="00832DDF"/>
    <w:rsid w:val="0083310A"/>
    <w:rsid w:val="008335E3"/>
    <w:rsid w:val="008336C3"/>
    <w:rsid w:val="008357C5"/>
    <w:rsid w:val="00836342"/>
    <w:rsid w:val="00836E21"/>
    <w:rsid w:val="0083704A"/>
    <w:rsid w:val="0083710E"/>
    <w:rsid w:val="008407DF"/>
    <w:rsid w:val="00840B85"/>
    <w:rsid w:val="0084147A"/>
    <w:rsid w:val="00841DFB"/>
    <w:rsid w:val="008427FC"/>
    <w:rsid w:val="0084280A"/>
    <w:rsid w:val="00842DCD"/>
    <w:rsid w:val="0084326F"/>
    <w:rsid w:val="0084370E"/>
    <w:rsid w:val="008439A4"/>
    <w:rsid w:val="00843AF1"/>
    <w:rsid w:val="00844171"/>
    <w:rsid w:val="0084640A"/>
    <w:rsid w:val="00846829"/>
    <w:rsid w:val="00846A55"/>
    <w:rsid w:val="008477C6"/>
    <w:rsid w:val="00847A7F"/>
    <w:rsid w:val="00847C6E"/>
    <w:rsid w:val="008500DF"/>
    <w:rsid w:val="00850457"/>
    <w:rsid w:val="00851CCC"/>
    <w:rsid w:val="00853B8C"/>
    <w:rsid w:val="00853BBB"/>
    <w:rsid w:val="0085475B"/>
    <w:rsid w:val="0085568C"/>
    <w:rsid w:val="00856271"/>
    <w:rsid w:val="008562A1"/>
    <w:rsid w:val="00857424"/>
    <w:rsid w:val="008603B5"/>
    <w:rsid w:val="00861FCF"/>
    <w:rsid w:val="00862256"/>
    <w:rsid w:val="008624AB"/>
    <w:rsid w:val="008627F7"/>
    <w:rsid w:val="00863212"/>
    <w:rsid w:val="00863A56"/>
    <w:rsid w:val="0086409C"/>
    <w:rsid w:val="0086484B"/>
    <w:rsid w:val="00864B46"/>
    <w:rsid w:val="00864B7B"/>
    <w:rsid w:val="00864D12"/>
    <w:rsid w:val="00865730"/>
    <w:rsid w:val="00865C6D"/>
    <w:rsid w:val="00865D88"/>
    <w:rsid w:val="00865E37"/>
    <w:rsid w:val="00866433"/>
    <w:rsid w:val="008667D9"/>
    <w:rsid w:val="00866B1C"/>
    <w:rsid w:val="008671A7"/>
    <w:rsid w:val="008672A9"/>
    <w:rsid w:val="00867461"/>
    <w:rsid w:val="0086756E"/>
    <w:rsid w:val="00867777"/>
    <w:rsid w:val="00867CAF"/>
    <w:rsid w:val="00867D75"/>
    <w:rsid w:val="00870A30"/>
    <w:rsid w:val="00872F18"/>
    <w:rsid w:val="008735B3"/>
    <w:rsid w:val="0087365F"/>
    <w:rsid w:val="008736AE"/>
    <w:rsid w:val="00874A11"/>
    <w:rsid w:val="00875B5E"/>
    <w:rsid w:val="008764C4"/>
    <w:rsid w:val="008767CF"/>
    <w:rsid w:val="00876B4A"/>
    <w:rsid w:val="00876F11"/>
    <w:rsid w:val="00877305"/>
    <w:rsid w:val="00877EB4"/>
    <w:rsid w:val="00880993"/>
    <w:rsid w:val="00880F5B"/>
    <w:rsid w:val="00881F40"/>
    <w:rsid w:val="00882AB0"/>
    <w:rsid w:val="00882C6D"/>
    <w:rsid w:val="00882DF3"/>
    <w:rsid w:val="008831E6"/>
    <w:rsid w:val="008836CA"/>
    <w:rsid w:val="00884CAE"/>
    <w:rsid w:val="0088527F"/>
    <w:rsid w:val="008863A6"/>
    <w:rsid w:val="008877BC"/>
    <w:rsid w:val="0089116B"/>
    <w:rsid w:val="00892067"/>
    <w:rsid w:val="00892289"/>
    <w:rsid w:val="0089357E"/>
    <w:rsid w:val="0089489F"/>
    <w:rsid w:val="00895D13"/>
    <w:rsid w:val="00896FC2"/>
    <w:rsid w:val="00897F8E"/>
    <w:rsid w:val="008A1BBE"/>
    <w:rsid w:val="008A1FB0"/>
    <w:rsid w:val="008A2970"/>
    <w:rsid w:val="008A2F5D"/>
    <w:rsid w:val="008A3DB8"/>
    <w:rsid w:val="008A3DFC"/>
    <w:rsid w:val="008A40DF"/>
    <w:rsid w:val="008A4349"/>
    <w:rsid w:val="008A4816"/>
    <w:rsid w:val="008A6060"/>
    <w:rsid w:val="008A69C2"/>
    <w:rsid w:val="008A733C"/>
    <w:rsid w:val="008A76F0"/>
    <w:rsid w:val="008A7993"/>
    <w:rsid w:val="008B0501"/>
    <w:rsid w:val="008B0A87"/>
    <w:rsid w:val="008B0BCA"/>
    <w:rsid w:val="008B3EA2"/>
    <w:rsid w:val="008B4D85"/>
    <w:rsid w:val="008B5473"/>
    <w:rsid w:val="008B54F4"/>
    <w:rsid w:val="008B67C2"/>
    <w:rsid w:val="008B6E86"/>
    <w:rsid w:val="008B72C2"/>
    <w:rsid w:val="008B7303"/>
    <w:rsid w:val="008B7541"/>
    <w:rsid w:val="008B79BB"/>
    <w:rsid w:val="008C008E"/>
    <w:rsid w:val="008C0EE2"/>
    <w:rsid w:val="008C1BC4"/>
    <w:rsid w:val="008C2095"/>
    <w:rsid w:val="008C221C"/>
    <w:rsid w:val="008C2494"/>
    <w:rsid w:val="008C334C"/>
    <w:rsid w:val="008C34F7"/>
    <w:rsid w:val="008C37F9"/>
    <w:rsid w:val="008C3DB2"/>
    <w:rsid w:val="008C3F48"/>
    <w:rsid w:val="008C4C4C"/>
    <w:rsid w:val="008C54DC"/>
    <w:rsid w:val="008C54E0"/>
    <w:rsid w:val="008C6B4D"/>
    <w:rsid w:val="008C7A2C"/>
    <w:rsid w:val="008D1774"/>
    <w:rsid w:val="008D1D74"/>
    <w:rsid w:val="008D2075"/>
    <w:rsid w:val="008D232A"/>
    <w:rsid w:val="008D2414"/>
    <w:rsid w:val="008D2C5C"/>
    <w:rsid w:val="008D2FDB"/>
    <w:rsid w:val="008D31D8"/>
    <w:rsid w:val="008D56E8"/>
    <w:rsid w:val="008D5718"/>
    <w:rsid w:val="008D5A8A"/>
    <w:rsid w:val="008D5B9F"/>
    <w:rsid w:val="008D6D26"/>
    <w:rsid w:val="008D7395"/>
    <w:rsid w:val="008E0480"/>
    <w:rsid w:val="008E0FAB"/>
    <w:rsid w:val="008E166C"/>
    <w:rsid w:val="008E1E1C"/>
    <w:rsid w:val="008E2100"/>
    <w:rsid w:val="008E27CD"/>
    <w:rsid w:val="008E286F"/>
    <w:rsid w:val="008E5E30"/>
    <w:rsid w:val="008E7066"/>
    <w:rsid w:val="008E739C"/>
    <w:rsid w:val="008F1E44"/>
    <w:rsid w:val="008F27F8"/>
    <w:rsid w:val="008F3042"/>
    <w:rsid w:val="008F39E6"/>
    <w:rsid w:val="008F3C0A"/>
    <w:rsid w:val="008F3C7F"/>
    <w:rsid w:val="008F4077"/>
    <w:rsid w:val="008F41F7"/>
    <w:rsid w:val="008F471E"/>
    <w:rsid w:val="008F4C69"/>
    <w:rsid w:val="008F4C87"/>
    <w:rsid w:val="008F4ED9"/>
    <w:rsid w:val="008F7274"/>
    <w:rsid w:val="008F737D"/>
    <w:rsid w:val="008F7EFD"/>
    <w:rsid w:val="00900F1C"/>
    <w:rsid w:val="009011A5"/>
    <w:rsid w:val="00901624"/>
    <w:rsid w:val="00902DB3"/>
    <w:rsid w:val="009032E3"/>
    <w:rsid w:val="009033F8"/>
    <w:rsid w:val="0090390C"/>
    <w:rsid w:val="00904AD3"/>
    <w:rsid w:val="0090519B"/>
    <w:rsid w:val="00905B91"/>
    <w:rsid w:val="00906F09"/>
    <w:rsid w:val="00907790"/>
    <w:rsid w:val="00907E76"/>
    <w:rsid w:val="009108EF"/>
    <w:rsid w:val="009114EA"/>
    <w:rsid w:val="009119E5"/>
    <w:rsid w:val="00912A31"/>
    <w:rsid w:val="00912D94"/>
    <w:rsid w:val="00912FAC"/>
    <w:rsid w:val="009130E8"/>
    <w:rsid w:val="009132CD"/>
    <w:rsid w:val="00913C28"/>
    <w:rsid w:val="00913FBB"/>
    <w:rsid w:val="00914B6C"/>
    <w:rsid w:val="00914DAA"/>
    <w:rsid w:val="009157A2"/>
    <w:rsid w:val="00915873"/>
    <w:rsid w:val="00915B29"/>
    <w:rsid w:val="00915B87"/>
    <w:rsid w:val="009165CC"/>
    <w:rsid w:val="00916926"/>
    <w:rsid w:val="00916F57"/>
    <w:rsid w:val="0091726B"/>
    <w:rsid w:val="00921945"/>
    <w:rsid w:val="00921962"/>
    <w:rsid w:val="009228FA"/>
    <w:rsid w:val="00922C50"/>
    <w:rsid w:val="00922E9E"/>
    <w:rsid w:val="00923027"/>
    <w:rsid w:val="00924115"/>
    <w:rsid w:val="00924352"/>
    <w:rsid w:val="00924E11"/>
    <w:rsid w:val="0092585D"/>
    <w:rsid w:val="0092690E"/>
    <w:rsid w:val="00926C91"/>
    <w:rsid w:val="00927179"/>
    <w:rsid w:val="00930320"/>
    <w:rsid w:val="00930759"/>
    <w:rsid w:val="00930889"/>
    <w:rsid w:val="00930EA7"/>
    <w:rsid w:val="009319BB"/>
    <w:rsid w:val="00931A43"/>
    <w:rsid w:val="00931A65"/>
    <w:rsid w:val="00931D56"/>
    <w:rsid w:val="0093260A"/>
    <w:rsid w:val="00933062"/>
    <w:rsid w:val="009330E5"/>
    <w:rsid w:val="0093427E"/>
    <w:rsid w:val="00934542"/>
    <w:rsid w:val="00934DAB"/>
    <w:rsid w:val="009350D8"/>
    <w:rsid w:val="0093568A"/>
    <w:rsid w:val="00935809"/>
    <w:rsid w:val="009358B5"/>
    <w:rsid w:val="00935E5B"/>
    <w:rsid w:val="00937A7B"/>
    <w:rsid w:val="00937B57"/>
    <w:rsid w:val="00940882"/>
    <w:rsid w:val="00940AA5"/>
    <w:rsid w:val="00941315"/>
    <w:rsid w:val="00941B2C"/>
    <w:rsid w:val="00942871"/>
    <w:rsid w:val="00942D4F"/>
    <w:rsid w:val="009432D0"/>
    <w:rsid w:val="009432D9"/>
    <w:rsid w:val="00943AAE"/>
    <w:rsid w:val="00943C0C"/>
    <w:rsid w:val="00944009"/>
    <w:rsid w:val="00945344"/>
    <w:rsid w:val="009453BB"/>
    <w:rsid w:val="00946958"/>
    <w:rsid w:val="009477E8"/>
    <w:rsid w:val="00947901"/>
    <w:rsid w:val="0095069E"/>
    <w:rsid w:val="009507DC"/>
    <w:rsid w:val="00950E4A"/>
    <w:rsid w:val="009515F7"/>
    <w:rsid w:val="00951B56"/>
    <w:rsid w:val="009527A9"/>
    <w:rsid w:val="009539CB"/>
    <w:rsid w:val="00953B7E"/>
    <w:rsid w:val="0095446A"/>
    <w:rsid w:val="009545FA"/>
    <w:rsid w:val="009547AB"/>
    <w:rsid w:val="00954BD4"/>
    <w:rsid w:val="00954E2F"/>
    <w:rsid w:val="009557F8"/>
    <w:rsid w:val="00955A94"/>
    <w:rsid w:val="00955AFB"/>
    <w:rsid w:val="009561A5"/>
    <w:rsid w:val="009568D5"/>
    <w:rsid w:val="0095731F"/>
    <w:rsid w:val="0095761F"/>
    <w:rsid w:val="00957AF5"/>
    <w:rsid w:val="00957DA8"/>
    <w:rsid w:val="00957E30"/>
    <w:rsid w:val="00961A72"/>
    <w:rsid w:val="00961B4F"/>
    <w:rsid w:val="009634DB"/>
    <w:rsid w:val="0096378B"/>
    <w:rsid w:val="00963AB8"/>
    <w:rsid w:val="00963B55"/>
    <w:rsid w:val="00963D13"/>
    <w:rsid w:val="00964011"/>
    <w:rsid w:val="009649D7"/>
    <w:rsid w:val="00965065"/>
    <w:rsid w:val="00965654"/>
    <w:rsid w:val="00965AC1"/>
    <w:rsid w:val="00965F2E"/>
    <w:rsid w:val="00966549"/>
    <w:rsid w:val="00966B81"/>
    <w:rsid w:val="00966FA5"/>
    <w:rsid w:val="009676C0"/>
    <w:rsid w:val="00967BE9"/>
    <w:rsid w:val="00972513"/>
    <w:rsid w:val="00972FDD"/>
    <w:rsid w:val="00973665"/>
    <w:rsid w:val="00973804"/>
    <w:rsid w:val="00973864"/>
    <w:rsid w:val="00973A32"/>
    <w:rsid w:val="0097423A"/>
    <w:rsid w:val="009757A5"/>
    <w:rsid w:val="00975D0F"/>
    <w:rsid w:val="00975EB4"/>
    <w:rsid w:val="00976245"/>
    <w:rsid w:val="009772C7"/>
    <w:rsid w:val="00977607"/>
    <w:rsid w:val="00977C02"/>
    <w:rsid w:val="009807E1"/>
    <w:rsid w:val="0098186E"/>
    <w:rsid w:val="00981ACA"/>
    <w:rsid w:val="009820D2"/>
    <w:rsid w:val="009823B6"/>
    <w:rsid w:val="0098374D"/>
    <w:rsid w:val="00983E9A"/>
    <w:rsid w:val="009844C4"/>
    <w:rsid w:val="00984C94"/>
    <w:rsid w:val="00984FC2"/>
    <w:rsid w:val="00985057"/>
    <w:rsid w:val="009850EE"/>
    <w:rsid w:val="00985B42"/>
    <w:rsid w:val="0098671F"/>
    <w:rsid w:val="00986B5F"/>
    <w:rsid w:val="00990132"/>
    <w:rsid w:val="00990425"/>
    <w:rsid w:val="00990B3E"/>
    <w:rsid w:val="00992167"/>
    <w:rsid w:val="00992AF3"/>
    <w:rsid w:val="009931CB"/>
    <w:rsid w:val="00993479"/>
    <w:rsid w:val="00993A49"/>
    <w:rsid w:val="00993BC0"/>
    <w:rsid w:val="0099492E"/>
    <w:rsid w:val="009956C0"/>
    <w:rsid w:val="009957C3"/>
    <w:rsid w:val="00996954"/>
    <w:rsid w:val="00996C1A"/>
    <w:rsid w:val="009971B5"/>
    <w:rsid w:val="009A024D"/>
    <w:rsid w:val="009A07F1"/>
    <w:rsid w:val="009A08C6"/>
    <w:rsid w:val="009A097E"/>
    <w:rsid w:val="009A0F96"/>
    <w:rsid w:val="009A1B52"/>
    <w:rsid w:val="009A2540"/>
    <w:rsid w:val="009A2B0B"/>
    <w:rsid w:val="009A3300"/>
    <w:rsid w:val="009A3F77"/>
    <w:rsid w:val="009A42FE"/>
    <w:rsid w:val="009A65AB"/>
    <w:rsid w:val="009A677D"/>
    <w:rsid w:val="009A70CD"/>
    <w:rsid w:val="009A728C"/>
    <w:rsid w:val="009A7CD7"/>
    <w:rsid w:val="009A7F39"/>
    <w:rsid w:val="009B05B4"/>
    <w:rsid w:val="009B0A9F"/>
    <w:rsid w:val="009B1099"/>
    <w:rsid w:val="009B1D9F"/>
    <w:rsid w:val="009B1E82"/>
    <w:rsid w:val="009B3744"/>
    <w:rsid w:val="009B4435"/>
    <w:rsid w:val="009B60A3"/>
    <w:rsid w:val="009B72B4"/>
    <w:rsid w:val="009B7644"/>
    <w:rsid w:val="009B78F4"/>
    <w:rsid w:val="009B7F40"/>
    <w:rsid w:val="009C031D"/>
    <w:rsid w:val="009C0C62"/>
    <w:rsid w:val="009C0EE5"/>
    <w:rsid w:val="009C15AB"/>
    <w:rsid w:val="009C1C62"/>
    <w:rsid w:val="009C1FDF"/>
    <w:rsid w:val="009C2193"/>
    <w:rsid w:val="009C327F"/>
    <w:rsid w:val="009C35DC"/>
    <w:rsid w:val="009C3AAB"/>
    <w:rsid w:val="009C3AC5"/>
    <w:rsid w:val="009C5674"/>
    <w:rsid w:val="009C67CA"/>
    <w:rsid w:val="009C7265"/>
    <w:rsid w:val="009D0173"/>
    <w:rsid w:val="009D1204"/>
    <w:rsid w:val="009D1682"/>
    <w:rsid w:val="009D1A17"/>
    <w:rsid w:val="009D2863"/>
    <w:rsid w:val="009D2C43"/>
    <w:rsid w:val="009D35BF"/>
    <w:rsid w:val="009D3647"/>
    <w:rsid w:val="009D3C81"/>
    <w:rsid w:val="009D3E1C"/>
    <w:rsid w:val="009D3F92"/>
    <w:rsid w:val="009D4720"/>
    <w:rsid w:val="009D5305"/>
    <w:rsid w:val="009D58ED"/>
    <w:rsid w:val="009D5A84"/>
    <w:rsid w:val="009D6328"/>
    <w:rsid w:val="009D6548"/>
    <w:rsid w:val="009D6E60"/>
    <w:rsid w:val="009D7202"/>
    <w:rsid w:val="009D761C"/>
    <w:rsid w:val="009D797D"/>
    <w:rsid w:val="009D7BCD"/>
    <w:rsid w:val="009E0473"/>
    <w:rsid w:val="009E15C5"/>
    <w:rsid w:val="009E161C"/>
    <w:rsid w:val="009E1D5F"/>
    <w:rsid w:val="009E1F9A"/>
    <w:rsid w:val="009E2245"/>
    <w:rsid w:val="009E2630"/>
    <w:rsid w:val="009E334C"/>
    <w:rsid w:val="009E4574"/>
    <w:rsid w:val="009E4774"/>
    <w:rsid w:val="009E5206"/>
    <w:rsid w:val="009E5595"/>
    <w:rsid w:val="009E581B"/>
    <w:rsid w:val="009E6602"/>
    <w:rsid w:val="009E6BF8"/>
    <w:rsid w:val="009E79E5"/>
    <w:rsid w:val="009F053A"/>
    <w:rsid w:val="009F0A76"/>
    <w:rsid w:val="009F10FB"/>
    <w:rsid w:val="009F1F13"/>
    <w:rsid w:val="009F25A9"/>
    <w:rsid w:val="009F26AE"/>
    <w:rsid w:val="009F2904"/>
    <w:rsid w:val="009F2FF2"/>
    <w:rsid w:val="009F3640"/>
    <w:rsid w:val="009F4055"/>
    <w:rsid w:val="009F41C6"/>
    <w:rsid w:val="009F43C2"/>
    <w:rsid w:val="009F5EF2"/>
    <w:rsid w:val="009F645E"/>
    <w:rsid w:val="009F682C"/>
    <w:rsid w:val="009F6CB4"/>
    <w:rsid w:val="009F704B"/>
    <w:rsid w:val="009F78E4"/>
    <w:rsid w:val="009F7CF6"/>
    <w:rsid w:val="00A00890"/>
    <w:rsid w:val="00A0143D"/>
    <w:rsid w:val="00A018F3"/>
    <w:rsid w:val="00A025B6"/>
    <w:rsid w:val="00A02D23"/>
    <w:rsid w:val="00A03C56"/>
    <w:rsid w:val="00A03F51"/>
    <w:rsid w:val="00A04140"/>
    <w:rsid w:val="00A049BF"/>
    <w:rsid w:val="00A0502B"/>
    <w:rsid w:val="00A052B2"/>
    <w:rsid w:val="00A05375"/>
    <w:rsid w:val="00A05AC5"/>
    <w:rsid w:val="00A0679B"/>
    <w:rsid w:val="00A06C9E"/>
    <w:rsid w:val="00A0706B"/>
    <w:rsid w:val="00A07154"/>
    <w:rsid w:val="00A101EB"/>
    <w:rsid w:val="00A109CA"/>
    <w:rsid w:val="00A11389"/>
    <w:rsid w:val="00A125F7"/>
    <w:rsid w:val="00A12A33"/>
    <w:rsid w:val="00A12D0F"/>
    <w:rsid w:val="00A145C0"/>
    <w:rsid w:val="00A1465F"/>
    <w:rsid w:val="00A146DC"/>
    <w:rsid w:val="00A15036"/>
    <w:rsid w:val="00A153B8"/>
    <w:rsid w:val="00A15574"/>
    <w:rsid w:val="00A155BC"/>
    <w:rsid w:val="00A15644"/>
    <w:rsid w:val="00A15A2C"/>
    <w:rsid w:val="00A15B7B"/>
    <w:rsid w:val="00A172CC"/>
    <w:rsid w:val="00A1732A"/>
    <w:rsid w:val="00A17DB2"/>
    <w:rsid w:val="00A17FF8"/>
    <w:rsid w:val="00A20147"/>
    <w:rsid w:val="00A21B20"/>
    <w:rsid w:val="00A226ED"/>
    <w:rsid w:val="00A22A62"/>
    <w:rsid w:val="00A22FD0"/>
    <w:rsid w:val="00A2323F"/>
    <w:rsid w:val="00A2387A"/>
    <w:rsid w:val="00A2425D"/>
    <w:rsid w:val="00A254FE"/>
    <w:rsid w:val="00A25C36"/>
    <w:rsid w:val="00A25D4B"/>
    <w:rsid w:val="00A269CB"/>
    <w:rsid w:val="00A26C54"/>
    <w:rsid w:val="00A26F46"/>
    <w:rsid w:val="00A31E18"/>
    <w:rsid w:val="00A321D3"/>
    <w:rsid w:val="00A32F3F"/>
    <w:rsid w:val="00A3316A"/>
    <w:rsid w:val="00A33CBD"/>
    <w:rsid w:val="00A33EB6"/>
    <w:rsid w:val="00A33F73"/>
    <w:rsid w:val="00A341C6"/>
    <w:rsid w:val="00A344CA"/>
    <w:rsid w:val="00A357DC"/>
    <w:rsid w:val="00A36288"/>
    <w:rsid w:val="00A364A7"/>
    <w:rsid w:val="00A37346"/>
    <w:rsid w:val="00A406C7"/>
    <w:rsid w:val="00A4150B"/>
    <w:rsid w:val="00A425D5"/>
    <w:rsid w:val="00A432EB"/>
    <w:rsid w:val="00A435E5"/>
    <w:rsid w:val="00A43E0D"/>
    <w:rsid w:val="00A44361"/>
    <w:rsid w:val="00A44EF3"/>
    <w:rsid w:val="00A456A5"/>
    <w:rsid w:val="00A459BE"/>
    <w:rsid w:val="00A47B51"/>
    <w:rsid w:val="00A47CC7"/>
    <w:rsid w:val="00A5010E"/>
    <w:rsid w:val="00A50503"/>
    <w:rsid w:val="00A51C63"/>
    <w:rsid w:val="00A51CE9"/>
    <w:rsid w:val="00A51F1A"/>
    <w:rsid w:val="00A528A9"/>
    <w:rsid w:val="00A52DB7"/>
    <w:rsid w:val="00A52DFB"/>
    <w:rsid w:val="00A5303A"/>
    <w:rsid w:val="00A53731"/>
    <w:rsid w:val="00A53FDE"/>
    <w:rsid w:val="00A551B8"/>
    <w:rsid w:val="00A56C12"/>
    <w:rsid w:val="00A57409"/>
    <w:rsid w:val="00A57789"/>
    <w:rsid w:val="00A5778F"/>
    <w:rsid w:val="00A6005C"/>
    <w:rsid w:val="00A60150"/>
    <w:rsid w:val="00A61170"/>
    <w:rsid w:val="00A6190D"/>
    <w:rsid w:val="00A63B86"/>
    <w:rsid w:val="00A63E7B"/>
    <w:rsid w:val="00A6404C"/>
    <w:rsid w:val="00A6429C"/>
    <w:rsid w:val="00A6461F"/>
    <w:rsid w:val="00A64C49"/>
    <w:rsid w:val="00A66114"/>
    <w:rsid w:val="00A66807"/>
    <w:rsid w:val="00A67DB2"/>
    <w:rsid w:val="00A70037"/>
    <w:rsid w:val="00A707D4"/>
    <w:rsid w:val="00A70D83"/>
    <w:rsid w:val="00A70E60"/>
    <w:rsid w:val="00A7158F"/>
    <w:rsid w:val="00A71D0E"/>
    <w:rsid w:val="00A736CD"/>
    <w:rsid w:val="00A73D07"/>
    <w:rsid w:val="00A73ECB"/>
    <w:rsid w:val="00A74151"/>
    <w:rsid w:val="00A749A3"/>
    <w:rsid w:val="00A74D1B"/>
    <w:rsid w:val="00A74D2E"/>
    <w:rsid w:val="00A762F5"/>
    <w:rsid w:val="00A76F37"/>
    <w:rsid w:val="00A775E6"/>
    <w:rsid w:val="00A77C59"/>
    <w:rsid w:val="00A8014A"/>
    <w:rsid w:val="00A80388"/>
    <w:rsid w:val="00A804B2"/>
    <w:rsid w:val="00A81093"/>
    <w:rsid w:val="00A811E3"/>
    <w:rsid w:val="00A81261"/>
    <w:rsid w:val="00A81710"/>
    <w:rsid w:val="00A828A1"/>
    <w:rsid w:val="00A83639"/>
    <w:rsid w:val="00A84357"/>
    <w:rsid w:val="00A84D11"/>
    <w:rsid w:val="00A85934"/>
    <w:rsid w:val="00A86727"/>
    <w:rsid w:val="00A86B63"/>
    <w:rsid w:val="00A876AB"/>
    <w:rsid w:val="00A87C2C"/>
    <w:rsid w:val="00A87F95"/>
    <w:rsid w:val="00A900A5"/>
    <w:rsid w:val="00A90973"/>
    <w:rsid w:val="00A91445"/>
    <w:rsid w:val="00A919D7"/>
    <w:rsid w:val="00A91AE8"/>
    <w:rsid w:val="00A91BD0"/>
    <w:rsid w:val="00A91DFF"/>
    <w:rsid w:val="00A929DE"/>
    <w:rsid w:val="00A9394E"/>
    <w:rsid w:val="00A94C45"/>
    <w:rsid w:val="00A94E12"/>
    <w:rsid w:val="00A9590B"/>
    <w:rsid w:val="00A961B1"/>
    <w:rsid w:val="00A963F6"/>
    <w:rsid w:val="00A964A1"/>
    <w:rsid w:val="00A96814"/>
    <w:rsid w:val="00A968A2"/>
    <w:rsid w:val="00A9690A"/>
    <w:rsid w:val="00A9780B"/>
    <w:rsid w:val="00AA08C5"/>
    <w:rsid w:val="00AA1E91"/>
    <w:rsid w:val="00AA2AC2"/>
    <w:rsid w:val="00AA2C7D"/>
    <w:rsid w:val="00AA3173"/>
    <w:rsid w:val="00AA3331"/>
    <w:rsid w:val="00AA3D2C"/>
    <w:rsid w:val="00AA43E7"/>
    <w:rsid w:val="00AA457B"/>
    <w:rsid w:val="00AA50F0"/>
    <w:rsid w:val="00AA57D6"/>
    <w:rsid w:val="00AA5FAB"/>
    <w:rsid w:val="00AA611D"/>
    <w:rsid w:val="00AA6FE7"/>
    <w:rsid w:val="00AA752E"/>
    <w:rsid w:val="00AA7A37"/>
    <w:rsid w:val="00AA7C23"/>
    <w:rsid w:val="00AB0DF7"/>
    <w:rsid w:val="00AB2345"/>
    <w:rsid w:val="00AB320C"/>
    <w:rsid w:val="00AB327F"/>
    <w:rsid w:val="00AB33BA"/>
    <w:rsid w:val="00AB4BFF"/>
    <w:rsid w:val="00AB556C"/>
    <w:rsid w:val="00AB5BB5"/>
    <w:rsid w:val="00AB6238"/>
    <w:rsid w:val="00AC07BC"/>
    <w:rsid w:val="00AC0C44"/>
    <w:rsid w:val="00AC0FB8"/>
    <w:rsid w:val="00AC1AEC"/>
    <w:rsid w:val="00AC218D"/>
    <w:rsid w:val="00AC3607"/>
    <w:rsid w:val="00AC46DE"/>
    <w:rsid w:val="00AC48C2"/>
    <w:rsid w:val="00AC528C"/>
    <w:rsid w:val="00AC5669"/>
    <w:rsid w:val="00AC5C32"/>
    <w:rsid w:val="00AC7375"/>
    <w:rsid w:val="00AC7393"/>
    <w:rsid w:val="00AC7C91"/>
    <w:rsid w:val="00AD0207"/>
    <w:rsid w:val="00AD077C"/>
    <w:rsid w:val="00AD1420"/>
    <w:rsid w:val="00AD145D"/>
    <w:rsid w:val="00AD1E93"/>
    <w:rsid w:val="00AD2657"/>
    <w:rsid w:val="00AD268A"/>
    <w:rsid w:val="00AD3655"/>
    <w:rsid w:val="00AD6286"/>
    <w:rsid w:val="00AD62A5"/>
    <w:rsid w:val="00AD6829"/>
    <w:rsid w:val="00AE0D5D"/>
    <w:rsid w:val="00AE11FC"/>
    <w:rsid w:val="00AE1651"/>
    <w:rsid w:val="00AE1ACA"/>
    <w:rsid w:val="00AE1B39"/>
    <w:rsid w:val="00AE22AF"/>
    <w:rsid w:val="00AE236E"/>
    <w:rsid w:val="00AE2659"/>
    <w:rsid w:val="00AE3A16"/>
    <w:rsid w:val="00AE4F55"/>
    <w:rsid w:val="00AE59D7"/>
    <w:rsid w:val="00AE5EAF"/>
    <w:rsid w:val="00AE6C33"/>
    <w:rsid w:val="00AE6E18"/>
    <w:rsid w:val="00AE719E"/>
    <w:rsid w:val="00AE72F5"/>
    <w:rsid w:val="00AE76B6"/>
    <w:rsid w:val="00AE776E"/>
    <w:rsid w:val="00AE7ABA"/>
    <w:rsid w:val="00AF09E3"/>
    <w:rsid w:val="00AF0C6F"/>
    <w:rsid w:val="00AF2342"/>
    <w:rsid w:val="00AF3314"/>
    <w:rsid w:val="00AF3E77"/>
    <w:rsid w:val="00AF44D6"/>
    <w:rsid w:val="00AF46D4"/>
    <w:rsid w:val="00AF4835"/>
    <w:rsid w:val="00AF57F9"/>
    <w:rsid w:val="00AF5841"/>
    <w:rsid w:val="00AF5C12"/>
    <w:rsid w:val="00AF602A"/>
    <w:rsid w:val="00AF6C3E"/>
    <w:rsid w:val="00AF6CC0"/>
    <w:rsid w:val="00AF7913"/>
    <w:rsid w:val="00B01AFB"/>
    <w:rsid w:val="00B01D91"/>
    <w:rsid w:val="00B02E68"/>
    <w:rsid w:val="00B03479"/>
    <w:rsid w:val="00B04025"/>
    <w:rsid w:val="00B040A9"/>
    <w:rsid w:val="00B04151"/>
    <w:rsid w:val="00B04656"/>
    <w:rsid w:val="00B04774"/>
    <w:rsid w:val="00B04C62"/>
    <w:rsid w:val="00B0598C"/>
    <w:rsid w:val="00B05A36"/>
    <w:rsid w:val="00B05FC0"/>
    <w:rsid w:val="00B06291"/>
    <w:rsid w:val="00B06E88"/>
    <w:rsid w:val="00B07121"/>
    <w:rsid w:val="00B078B7"/>
    <w:rsid w:val="00B07A5B"/>
    <w:rsid w:val="00B10595"/>
    <w:rsid w:val="00B106B2"/>
    <w:rsid w:val="00B113AD"/>
    <w:rsid w:val="00B116F5"/>
    <w:rsid w:val="00B120E6"/>
    <w:rsid w:val="00B122EA"/>
    <w:rsid w:val="00B12DC0"/>
    <w:rsid w:val="00B15125"/>
    <w:rsid w:val="00B1520B"/>
    <w:rsid w:val="00B15C13"/>
    <w:rsid w:val="00B166F9"/>
    <w:rsid w:val="00B16F8C"/>
    <w:rsid w:val="00B1759D"/>
    <w:rsid w:val="00B20205"/>
    <w:rsid w:val="00B20D76"/>
    <w:rsid w:val="00B21253"/>
    <w:rsid w:val="00B224BB"/>
    <w:rsid w:val="00B22DFF"/>
    <w:rsid w:val="00B23335"/>
    <w:rsid w:val="00B23495"/>
    <w:rsid w:val="00B23525"/>
    <w:rsid w:val="00B23825"/>
    <w:rsid w:val="00B2385D"/>
    <w:rsid w:val="00B23A88"/>
    <w:rsid w:val="00B241A6"/>
    <w:rsid w:val="00B24519"/>
    <w:rsid w:val="00B25361"/>
    <w:rsid w:val="00B25682"/>
    <w:rsid w:val="00B25BD5"/>
    <w:rsid w:val="00B26098"/>
    <w:rsid w:val="00B260DD"/>
    <w:rsid w:val="00B26271"/>
    <w:rsid w:val="00B266AA"/>
    <w:rsid w:val="00B268C7"/>
    <w:rsid w:val="00B269D5"/>
    <w:rsid w:val="00B26CD9"/>
    <w:rsid w:val="00B2702E"/>
    <w:rsid w:val="00B27F1D"/>
    <w:rsid w:val="00B3073D"/>
    <w:rsid w:val="00B30E73"/>
    <w:rsid w:val="00B31120"/>
    <w:rsid w:val="00B311F9"/>
    <w:rsid w:val="00B320B6"/>
    <w:rsid w:val="00B32379"/>
    <w:rsid w:val="00B32A2F"/>
    <w:rsid w:val="00B32AB1"/>
    <w:rsid w:val="00B34080"/>
    <w:rsid w:val="00B34B0E"/>
    <w:rsid w:val="00B34E98"/>
    <w:rsid w:val="00B35165"/>
    <w:rsid w:val="00B35434"/>
    <w:rsid w:val="00B362D3"/>
    <w:rsid w:val="00B36387"/>
    <w:rsid w:val="00B368B9"/>
    <w:rsid w:val="00B3705E"/>
    <w:rsid w:val="00B370E2"/>
    <w:rsid w:val="00B3738E"/>
    <w:rsid w:val="00B377E6"/>
    <w:rsid w:val="00B37DCF"/>
    <w:rsid w:val="00B37E14"/>
    <w:rsid w:val="00B37E74"/>
    <w:rsid w:val="00B40518"/>
    <w:rsid w:val="00B406E0"/>
    <w:rsid w:val="00B407C2"/>
    <w:rsid w:val="00B4104E"/>
    <w:rsid w:val="00B41B1C"/>
    <w:rsid w:val="00B41C6A"/>
    <w:rsid w:val="00B42B0C"/>
    <w:rsid w:val="00B4486E"/>
    <w:rsid w:val="00B4567E"/>
    <w:rsid w:val="00B457D6"/>
    <w:rsid w:val="00B45B46"/>
    <w:rsid w:val="00B464EE"/>
    <w:rsid w:val="00B47456"/>
    <w:rsid w:val="00B4769A"/>
    <w:rsid w:val="00B478E7"/>
    <w:rsid w:val="00B47E6F"/>
    <w:rsid w:val="00B507CE"/>
    <w:rsid w:val="00B51085"/>
    <w:rsid w:val="00B51E5E"/>
    <w:rsid w:val="00B52445"/>
    <w:rsid w:val="00B52EA5"/>
    <w:rsid w:val="00B5328D"/>
    <w:rsid w:val="00B55921"/>
    <w:rsid w:val="00B55A0F"/>
    <w:rsid w:val="00B55DED"/>
    <w:rsid w:val="00B605F9"/>
    <w:rsid w:val="00B606AB"/>
    <w:rsid w:val="00B60A32"/>
    <w:rsid w:val="00B6126D"/>
    <w:rsid w:val="00B61400"/>
    <w:rsid w:val="00B614E9"/>
    <w:rsid w:val="00B625AC"/>
    <w:rsid w:val="00B62C88"/>
    <w:rsid w:val="00B62D24"/>
    <w:rsid w:val="00B63130"/>
    <w:rsid w:val="00B631AB"/>
    <w:rsid w:val="00B644AE"/>
    <w:rsid w:val="00B6454F"/>
    <w:rsid w:val="00B653ED"/>
    <w:rsid w:val="00B66C68"/>
    <w:rsid w:val="00B66D5C"/>
    <w:rsid w:val="00B66E8C"/>
    <w:rsid w:val="00B67751"/>
    <w:rsid w:val="00B715F2"/>
    <w:rsid w:val="00B71C25"/>
    <w:rsid w:val="00B72318"/>
    <w:rsid w:val="00B731C9"/>
    <w:rsid w:val="00B73271"/>
    <w:rsid w:val="00B73DBC"/>
    <w:rsid w:val="00B7425F"/>
    <w:rsid w:val="00B743AC"/>
    <w:rsid w:val="00B74A25"/>
    <w:rsid w:val="00B74F85"/>
    <w:rsid w:val="00B7670E"/>
    <w:rsid w:val="00B7688D"/>
    <w:rsid w:val="00B76B0E"/>
    <w:rsid w:val="00B772E7"/>
    <w:rsid w:val="00B7732C"/>
    <w:rsid w:val="00B776B4"/>
    <w:rsid w:val="00B81408"/>
    <w:rsid w:val="00B8143F"/>
    <w:rsid w:val="00B82A34"/>
    <w:rsid w:val="00B8342A"/>
    <w:rsid w:val="00B8353C"/>
    <w:rsid w:val="00B83D69"/>
    <w:rsid w:val="00B847D9"/>
    <w:rsid w:val="00B8501C"/>
    <w:rsid w:val="00B870E6"/>
    <w:rsid w:val="00B911F0"/>
    <w:rsid w:val="00B91359"/>
    <w:rsid w:val="00B9135F"/>
    <w:rsid w:val="00B91C38"/>
    <w:rsid w:val="00B920DB"/>
    <w:rsid w:val="00B9241B"/>
    <w:rsid w:val="00B925B8"/>
    <w:rsid w:val="00B92BBB"/>
    <w:rsid w:val="00B92D38"/>
    <w:rsid w:val="00B9355A"/>
    <w:rsid w:val="00B937A7"/>
    <w:rsid w:val="00B93C18"/>
    <w:rsid w:val="00B95553"/>
    <w:rsid w:val="00B955E0"/>
    <w:rsid w:val="00B9563A"/>
    <w:rsid w:val="00B9567D"/>
    <w:rsid w:val="00B96583"/>
    <w:rsid w:val="00B96B68"/>
    <w:rsid w:val="00B97365"/>
    <w:rsid w:val="00B9795B"/>
    <w:rsid w:val="00B97F37"/>
    <w:rsid w:val="00BA15EB"/>
    <w:rsid w:val="00BA25AC"/>
    <w:rsid w:val="00BA292F"/>
    <w:rsid w:val="00BA2A9A"/>
    <w:rsid w:val="00BA2D55"/>
    <w:rsid w:val="00BA2E78"/>
    <w:rsid w:val="00BA36DD"/>
    <w:rsid w:val="00BA4877"/>
    <w:rsid w:val="00BA5ACF"/>
    <w:rsid w:val="00BA5F16"/>
    <w:rsid w:val="00BA61FC"/>
    <w:rsid w:val="00BA6461"/>
    <w:rsid w:val="00BA7A3F"/>
    <w:rsid w:val="00BA7E23"/>
    <w:rsid w:val="00BB045C"/>
    <w:rsid w:val="00BB0AB8"/>
    <w:rsid w:val="00BB13FD"/>
    <w:rsid w:val="00BB1FDB"/>
    <w:rsid w:val="00BB20C2"/>
    <w:rsid w:val="00BB2C10"/>
    <w:rsid w:val="00BB360F"/>
    <w:rsid w:val="00BB4FF0"/>
    <w:rsid w:val="00BB53E1"/>
    <w:rsid w:val="00BB5927"/>
    <w:rsid w:val="00BB5D67"/>
    <w:rsid w:val="00BB6D91"/>
    <w:rsid w:val="00BB757B"/>
    <w:rsid w:val="00BC0980"/>
    <w:rsid w:val="00BC0B37"/>
    <w:rsid w:val="00BC1AAD"/>
    <w:rsid w:val="00BC214B"/>
    <w:rsid w:val="00BC23BC"/>
    <w:rsid w:val="00BC264D"/>
    <w:rsid w:val="00BC2AC3"/>
    <w:rsid w:val="00BC3260"/>
    <w:rsid w:val="00BC338C"/>
    <w:rsid w:val="00BC3A4E"/>
    <w:rsid w:val="00BC3B3F"/>
    <w:rsid w:val="00BC403C"/>
    <w:rsid w:val="00BC46AF"/>
    <w:rsid w:val="00BC4E9B"/>
    <w:rsid w:val="00BC53BA"/>
    <w:rsid w:val="00BC552A"/>
    <w:rsid w:val="00BC56D1"/>
    <w:rsid w:val="00BC5FCC"/>
    <w:rsid w:val="00BC74C8"/>
    <w:rsid w:val="00BC7963"/>
    <w:rsid w:val="00BC7BB9"/>
    <w:rsid w:val="00BD0D58"/>
    <w:rsid w:val="00BD0F86"/>
    <w:rsid w:val="00BD15FF"/>
    <w:rsid w:val="00BD2ABE"/>
    <w:rsid w:val="00BD31DA"/>
    <w:rsid w:val="00BD32E9"/>
    <w:rsid w:val="00BD3331"/>
    <w:rsid w:val="00BD3660"/>
    <w:rsid w:val="00BD3EFC"/>
    <w:rsid w:val="00BD4907"/>
    <w:rsid w:val="00BD4CCD"/>
    <w:rsid w:val="00BD59BF"/>
    <w:rsid w:val="00BD6FDD"/>
    <w:rsid w:val="00BD7098"/>
    <w:rsid w:val="00BD746F"/>
    <w:rsid w:val="00BD7A61"/>
    <w:rsid w:val="00BD7C30"/>
    <w:rsid w:val="00BE00A8"/>
    <w:rsid w:val="00BE02A9"/>
    <w:rsid w:val="00BE048B"/>
    <w:rsid w:val="00BE071B"/>
    <w:rsid w:val="00BE0A59"/>
    <w:rsid w:val="00BE0C3D"/>
    <w:rsid w:val="00BE11EE"/>
    <w:rsid w:val="00BE16BF"/>
    <w:rsid w:val="00BE1C8E"/>
    <w:rsid w:val="00BE3566"/>
    <w:rsid w:val="00BE3880"/>
    <w:rsid w:val="00BE3AA1"/>
    <w:rsid w:val="00BE402B"/>
    <w:rsid w:val="00BE42EB"/>
    <w:rsid w:val="00BE4D38"/>
    <w:rsid w:val="00BE51FE"/>
    <w:rsid w:val="00BE548A"/>
    <w:rsid w:val="00BE5743"/>
    <w:rsid w:val="00BE61D2"/>
    <w:rsid w:val="00BE6756"/>
    <w:rsid w:val="00BF0350"/>
    <w:rsid w:val="00BF068C"/>
    <w:rsid w:val="00BF0B6B"/>
    <w:rsid w:val="00BF12D4"/>
    <w:rsid w:val="00BF1D49"/>
    <w:rsid w:val="00BF2A6D"/>
    <w:rsid w:val="00BF4000"/>
    <w:rsid w:val="00BF4296"/>
    <w:rsid w:val="00BF45B8"/>
    <w:rsid w:val="00BF46C0"/>
    <w:rsid w:val="00BF47C1"/>
    <w:rsid w:val="00BF47FD"/>
    <w:rsid w:val="00BF4835"/>
    <w:rsid w:val="00BF4850"/>
    <w:rsid w:val="00BF48EC"/>
    <w:rsid w:val="00BF4A9C"/>
    <w:rsid w:val="00BF6187"/>
    <w:rsid w:val="00BF6745"/>
    <w:rsid w:val="00BF7621"/>
    <w:rsid w:val="00BF769B"/>
    <w:rsid w:val="00BF7A82"/>
    <w:rsid w:val="00C00620"/>
    <w:rsid w:val="00C006C5"/>
    <w:rsid w:val="00C00E7D"/>
    <w:rsid w:val="00C018F8"/>
    <w:rsid w:val="00C01D72"/>
    <w:rsid w:val="00C0215B"/>
    <w:rsid w:val="00C02253"/>
    <w:rsid w:val="00C02B29"/>
    <w:rsid w:val="00C02BAF"/>
    <w:rsid w:val="00C04B64"/>
    <w:rsid w:val="00C04E6C"/>
    <w:rsid w:val="00C055DF"/>
    <w:rsid w:val="00C05D36"/>
    <w:rsid w:val="00C060A5"/>
    <w:rsid w:val="00C07094"/>
    <w:rsid w:val="00C07570"/>
    <w:rsid w:val="00C07950"/>
    <w:rsid w:val="00C07957"/>
    <w:rsid w:val="00C101D5"/>
    <w:rsid w:val="00C1027A"/>
    <w:rsid w:val="00C108ED"/>
    <w:rsid w:val="00C10F0A"/>
    <w:rsid w:val="00C10F95"/>
    <w:rsid w:val="00C12DEB"/>
    <w:rsid w:val="00C138F2"/>
    <w:rsid w:val="00C141E3"/>
    <w:rsid w:val="00C14520"/>
    <w:rsid w:val="00C15C2B"/>
    <w:rsid w:val="00C1642D"/>
    <w:rsid w:val="00C1661D"/>
    <w:rsid w:val="00C16C5F"/>
    <w:rsid w:val="00C17A0F"/>
    <w:rsid w:val="00C2002F"/>
    <w:rsid w:val="00C20350"/>
    <w:rsid w:val="00C20C9E"/>
    <w:rsid w:val="00C216F8"/>
    <w:rsid w:val="00C21732"/>
    <w:rsid w:val="00C227F6"/>
    <w:rsid w:val="00C2372E"/>
    <w:rsid w:val="00C253AB"/>
    <w:rsid w:val="00C2587A"/>
    <w:rsid w:val="00C25AAD"/>
    <w:rsid w:val="00C26BB5"/>
    <w:rsid w:val="00C27964"/>
    <w:rsid w:val="00C3031C"/>
    <w:rsid w:val="00C30B24"/>
    <w:rsid w:val="00C3120A"/>
    <w:rsid w:val="00C3170B"/>
    <w:rsid w:val="00C3176C"/>
    <w:rsid w:val="00C31DA6"/>
    <w:rsid w:val="00C3200C"/>
    <w:rsid w:val="00C3275A"/>
    <w:rsid w:val="00C332F3"/>
    <w:rsid w:val="00C33F32"/>
    <w:rsid w:val="00C3409E"/>
    <w:rsid w:val="00C3494C"/>
    <w:rsid w:val="00C379BD"/>
    <w:rsid w:val="00C37A34"/>
    <w:rsid w:val="00C37B31"/>
    <w:rsid w:val="00C400FB"/>
    <w:rsid w:val="00C40944"/>
    <w:rsid w:val="00C41485"/>
    <w:rsid w:val="00C41A37"/>
    <w:rsid w:val="00C42145"/>
    <w:rsid w:val="00C43CC0"/>
    <w:rsid w:val="00C447EA"/>
    <w:rsid w:val="00C44CD4"/>
    <w:rsid w:val="00C4540F"/>
    <w:rsid w:val="00C4609B"/>
    <w:rsid w:val="00C4676F"/>
    <w:rsid w:val="00C46D49"/>
    <w:rsid w:val="00C473AD"/>
    <w:rsid w:val="00C500BD"/>
    <w:rsid w:val="00C5040E"/>
    <w:rsid w:val="00C505D2"/>
    <w:rsid w:val="00C5071F"/>
    <w:rsid w:val="00C507A0"/>
    <w:rsid w:val="00C50C58"/>
    <w:rsid w:val="00C51A39"/>
    <w:rsid w:val="00C51E0C"/>
    <w:rsid w:val="00C51E89"/>
    <w:rsid w:val="00C526BA"/>
    <w:rsid w:val="00C5372F"/>
    <w:rsid w:val="00C5380A"/>
    <w:rsid w:val="00C539F1"/>
    <w:rsid w:val="00C53BB2"/>
    <w:rsid w:val="00C54526"/>
    <w:rsid w:val="00C5486F"/>
    <w:rsid w:val="00C55A26"/>
    <w:rsid w:val="00C55CF4"/>
    <w:rsid w:val="00C565BC"/>
    <w:rsid w:val="00C5731B"/>
    <w:rsid w:val="00C57BD7"/>
    <w:rsid w:val="00C57E14"/>
    <w:rsid w:val="00C57E4C"/>
    <w:rsid w:val="00C57F2A"/>
    <w:rsid w:val="00C57F7B"/>
    <w:rsid w:val="00C6035E"/>
    <w:rsid w:val="00C60518"/>
    <w:rsid w:val="00C60BEC"/>
    <w:rsid w:val="00C60FB3"/>
    <w:rsid w:val="00C626C4"/>
    <w:rsid w:val="00C62875"/>
    <w:rsid w:val="00C62A35"/>
    <w:rsid w:val="00C62C33"/>
    <w:rsid w:val="00C62D3C"/>
    <w:rsid w:val="00C630E5"/>
    <w:rsid w:val="00C643F3"/>
    <w:rsid w:val="00C64948"/>
    <w:rsid w:val="00C64B04"/>
    <w:rsid w:val="00C6512B"/>
    <w:rsid w:val="00C65BF8"/>
    <w:rsid w:val="00C666E6"/>
    <w:rsid w:val="00C667E0"/>
    <w:rsid w:val="00C67200"/>
    <w:rsid w:val="00C6728A"/>
    <w:rsid w:val="00C706D3"/>
    <w:rsid w:val="00C707BE"/>
    <w:rsid w:val="00C71DDE"/>
    <w:rsid w:val="00C72E0C"/>
    <w:rsid w:val="00C74FCB"/>
    <w:rsid w:val="00C76882"/>
    <w:rsid w:val="00C77249"/>
    <w:rsid w:val="00C777D3"/>
    <w:rsid w:val="00C77940"/>
    <w:rsid w:val="00C77CBE"/>
    <w:rsid w:val="00C77EA4"/>
    <w:rsid w:val="00C8087A"/>
    <w:rsid w:val="00C808EF"/>
    <w:rsid w:val="00C80AAF"/>
    <w:rsid w:val="00C81360"/>
    <w:rsid w:val="00C81D8C"/>
    <w:rsid w:val="00C81ECB"/>
    <w:rsid w:val="00C82390"/>
    <w:rsid w:val="00C83D48"/>
    <w:rsid w:val="00C84967"/>
    <w:rsid w:val="00C85733"/>
    <w:rsid w:val="00C85F2C"/>
    <w:rsid w:val="00C862BB"/>
    <w:rsid w:val="00C86336"/>
    <w:rsid w:val="00C86583"/>
    <w:rsid w:val="00C86C99"/>
    <w:rsid w:val="00C87459"/>
    <w:rsid w:val="00C87BC9"/>
    <w:rsid w:val="00C87F1F"/>
    <w:rsid w:val="00C91113"/>
    <w:rsid w:val="00C91F22"/>
    <w:rsid w:val="00C91F64"/>
    <w:rsid w:val="00C92400"/>
    <w:rsid w:val="00C94188"/>
    <w:rsid w:val="00C95154"/>
    <w:rsid w:val="00C95923"/>
    <w:rsid w:val="00C959C6"/>
    <w:rsid w:val="00C95D73"/>
    <w:rsid w:val="00C95F6B"/>
    <w:rsid w:val="00C95FF9"/>
    <w:rsid w:val="00C97B27"/>
    <w:rsid w:val="00C97D9C"/>
    <w:rsid w:val="00CA0331"/>
    <w:rsid w:val="00CA09EC"/>
    <w:rsid w:val="00CA166B"/>
    <w:rsid w:val="00CA1810"/>
    <w:rsid w:val="00CA2043"/>
    <w:rsid w:val="00CA2361"/>
    <w:rsid w:val="00CA2D2C"/>
    <w:rsid w:val="00CA306F"/>
    <w:rsid w:val="00CA3108"/>
    <w:rsid w:val="00CA32ED"/>
    <w:rsid w:val="00CA34DC"/>
    <w:rsid w:val="00CA3528"/>
    <w:rsid w:val="00CA3C7F"/>
    <w:rsid w:val="00CA4679"/>
    <w:rsid w:val="00CA5691"/>
    <w:rsid w:val="00CA5C16"/>
    <w:rsid w:val="00CA66D0"/>
    <w:rsid w:val="00CA6DC5"/>
    <w:rsid w:val="00CA7647"/>
    <w:rsid w:val="00CA7A65"/>
    <w:rsid w:val="00CA7B29"/>
    <w:rsid w:val="00CA7C16"/>
    <w:rsid w:val="00CA7CD6"/>
    <w:rsid w:val="00CB04C3"/>
    <w:rsid w:val="00CB0E4E"/>
    <w:rsid w:val="00CB1085"/>
    <w:rsid w:val="00CB11DD"/>
    <w:rsid w:val="00CB12C5"/>
    <w:rsid w:val="00CB1B6A"/>
    <w:rsid w:val="00CB21CF"/>
    <w:rsid w:val="00CB2245"/>
    <w:rsid w:val="00CB2EC2"/>
    <w:rsid w:val="00CB42CA"/>
    <w:rsid w:val="00CB435B"/>
    <w:rsid w:val="00CB54E3"/>
    <w:rsid w:val="00CB66DE"/>
    <w:rsid w:val="00CB6792"/>
    <w:rsid w:val="00CB6D51"/>
    <w:rsid w:val="00CB6E31"/>
    <w:rsid w:val="00CB7860"/>
    <w:rsid w:val="00CB78E1"/>
    <w:rsid w:val="00CB7E1F"/>
    <w:rsid w:val="00CB7FA6"/>
    <w:rsid w:val="00CC0576"/>
    <w:rsid w:val="00CC1737"/>
    <w:rsid w:val="00CC2C21"/>
    <w:rsid w:val="00CC2FE8"/>
    <w:rsid w:val="00CC31A5"/>
    <w:rsid w:val="00CC3CE4"/>
    <w:rsid w:val="00CC532A"/>
    <w:rsid w:val="00CC680B"/>
    <w:rsid w:val="00CC740F"/>
    <w:rsid w:val="00CC76C6"/>
    <w:rsid w:val="00CC7824"/>
    <w:rsid w:val="00CC7F99"/>
    <w:rsid w:val="00CD15CC"/>
    <w:rsid w:val="00CD19A1"/>
    <w:rsid w:val="00CD1CF0"/>
    <w:rsid w:val="00CD2C24"/>
    <w:rsid w:val="00CD3B53"/>
    <w:rsid w:val="00CD3C41"/>
    <w:rsid w:val="00CD4655"/>
    <w:rsid w:val="00CD4FF9"/>
    <w:rsid w:val="00CD52FB"/>
    <w:rsid w:val="00CD550E"/>
    <w:rsid w:val="00CD5DE0"/>
    <w:rsid w:val="00CD69A6"/>
    <w:rsid w:val="00CD6DC6"/>
    <w:rsid w:val="00CD7482"/>
    <w:rsid w:val="00CE056B"/>
    <w:rsid w:val="00CE0DB6"/>
    <w:rsid w:val="00CE0E44"/>
    <w:rsid w:val="00CE157D"/>
    <w:rsid w:val="00CE3990"/>
    <w:rsid w:val="00CE429C"/>
    <w:rsid w:val="00CE44D8"/>
    <w:rsid w:val="00CE46F3"/>
    <w:rsid w:val="00CE4CFA"/>
    <w:rsid w:val="00CE58EC"/>
    <w:rsid w:val="00CE682C"/>
    <w:rsid w:val="00CE6E8C"/>
    <w:rsid w:val="00CF02EA"/>
    <w:rsid w:val="00CF04A1"/>
    <w:rsid w:val="00CF06B0"/>
    <w:rsid w:val="00CF1380"/>
    <w:rsid w:val="00CF1AE1"/>
    <w:rsid w:val="00CF1B0A"/>
    <w:rsid w:val="00CF1B2F"/>
    <w:rsid w:val="00CF226A"/>
    <w:rsid w:val="00CF2A2D"/>
    <w:rsid w:val="00CF2CC6"/>
    <w:rsid w:val="00CF3B8C"/>
    <w:rsid w:val="00CF4A82"/>
    <w:rsid w:val="00CF5B0D"/>
    <w:rsid w:val="00CF5ECF"/>
    <w:rsid w:val="00CF5FBA"/>
    <w:rsid w:val="00CF6AFA"/>
    <w:rsid w:val="00CF71C5"/>
    <w:rsid w:val="00CF7824"/>
    <w:rsid w:val="00D004FC"/>
    <w:rsid w:val="00D00946"/>
    <w:rsid w:val="00D01B13"/>
    <w:rsid w:val="00D03A00"/>
    <w:rsid w:val="00D04176"/>
    <w:rsid w:val="00D046F5"/>
    <w:rsid w:val="00D04A7B"/>
    <w:rsid w:val="00D0595C"/>
    <w:rsid w:val="00D06147"/>
    <w:rsid w:val="00D0618C"/>
    <w:rsid w:val="00D061A9"/>
    <w:rsid w:val="00D06BC6"/>
    <w:rsid w:val="00D075FF"/>
    <w:rsid w:val="00D07D5C"/>
    <w:rsid w:val="00D07E31"/>
    <w:rsid w:val="00D100C3"/>
    <w:rsid w:val="00D10738"/>
    <w:rsid w:val="00D11584"/>
    <w:rsid w:val="00D11ED3"/>
    <w:rsid w:val="00D12492"/>
    <w:rsid w:val="00D12754"/>
    <w:rsid w:val="00D12861"/>
    <w:rsid w:val="00D128ED"/>
    <w:rsid w:val="00D12C98"/>
    <w:rsid w:val="00D12CC3"/>
    <w:rsid w:val="00D13871"/>
    <w:rsid w:val="00D13C66"/>
    <w:rsid w:val="00D14856"/>
    <w:rsid w:val="00D14B9C"/>
    <w:rsid w:val="00D154F7"/>
    <w:rsid w:val="00D17117"/>
    <w:rsid w:val="00D17A1B"/>
    <w:rsid w:val="00D17F23"/>
    <w:rsid w:val="00D20970"/>
    <w:rsid w:val="00D21812"/>
    <w:rsid w:val="00D21DFE"/>
    <w:rsid w:val="00D2300C"/>
    <w:rsid w:val="00D23201"/>
    <w:rsid w:val="00D2472C"/>
    <w:rsid w:val="00D251EB"/>
    <w:rsid w:val="00D25AB1"/>
    <w:rsid w:val="00D25BAA"/>
    <w:rsid w:val="00D26340"/>
    <w:rsid w:val="00D26C45"/>
    <w:rsid w:val="00D273BC"/>
    <w:rsid w:val="00D27B09"/>
    <w:rsid w:val="00D27BC0"/>
    <w:rsid w:val="00D27C69"/>
    <w:rsid w:val="00D27F8D"/>
    <w:rsid w:val="00D31223"/>
    <w:rsid w:val="00D313BD"/>
    <w:rsid w:val="00D33390"/>
    <w:rsid w:val="00D333B9"/>
    <w:rsid w:val="00D336D5"/>
    <w:rsid w:val="00D341FE"/>
    <w:rsid w:val="00D347B1"/>
    <w:rsid w:val="00D34C38"/>
    <w:rsid w:val="00D35299"/>
    <w:rsid w:val="00D35C6B"/>
    <w:rsid w:val="00D36170"/>
    <w:rsid w:val="00D364C9"/>
    <w:rsid w:val="00D368B5"/>
    <w:rsid w:val="00D37196"/>
    <w:rsid w:val="00D37636"/>
    <w:rsid w:val="00D40F63"/>
    <w:rsid w:val="00D4154B"/>
    <w:rsid w:val="00D41A2D"/>
    <w:rsid w:val="00D4206F"/>
    <w:rsid w:val="00D427AC"/>
    <w:rsid w:val="00D429B9"/>
    <w:rsid w:val="00D42F68"/>
    <w:rsid w:val="00D44BFA"/>
    <w:rsid w:val="00D45318"/>
    <w:rsid w:val="00D45AE7"/>
    <w:rsid w:val="00D46767"/>
    <w:rsid w:val="00D474AC"/>
    <w:rsid w:val="00D47735"/>
    <w:rsid w:val="00D47E4D"/>
    <w:rsid w:val="00D5042C"/>
    <w:rsid w:val="00D50F8C"/>
    <w:rsid w:val="00D515DD"/>
    <w:rsid w:val="00D51DB6"/>
    <w:rsid w:val="00D51FB3"/>
    <w:rsid w:val="00D5215A"/>
    <w:rsid w:val="00D527C1"/>
    <w:rsid w:val="00D53148"/>
    <w:rsid w:val="00D541E9"/>
    <w:rsid w:val="00D55D8F"/>
    <w:rsid w:val="00D55EDB"/>
    <w:rsid w:val="00D5605E"/>
    <w:rsid w:val="00D56342"/>
    <w:rsid w:val="00D56B63"/>
    <w:rsid w:val="00D56CDC"/>
    <w:rsid w:val="00D56F5C"/>
    <w:rsid w:val="00D57633"/>
    <w:rsid w:val="00D6008E"/>
    <w:rsid w:val="00D600E6"/>
    <w:rsid w:val="00D6032C"/>
    <w:rsid w:val="00D6138E"/>
    <w:rsid w:val="00D618ED"/>
    <w:rsid w:val="00D62661"/>
    <w:rsid w:val="00D62BDD"/>
    <w:rsid w:val="00D632E1"/>
    <w:rsid w:val="00D63315"/>
    <w:rsid w:val="00D6354F"/>
    <w:rsid w:val="00D63639"/>
    <w:rsid w:val="00D63987"/>
    <w:rsid w:val="00D63F99"/>
    <w:rsid w:val="00D64331"/>
    <w:rsid w:val="00D64666"/>
    <w:rsid w:val="00D6481A"/>
    <w:rsid w:val="00D65207"/>
    <w:rsid w:val="00D65FFB"/>
    <w:rsid w:val="00D66133"/>
    <w:rsid w:val="00D66546"/>
    <w:rsid w:val="00D66604"/>
    <w:rsid w:val="00D66B0F"/>
    <w:rsid w:val="00D66D52"/>
    <w:rsid w:val="00D66D92"/>
    <w:rsid w:val="00D701B5"/>
    <w:rsid w:val="00D71381"/>
    <w:rsid w:val="00D7145A"/>
    <w:rsid w:val="00D71ED6"/>
    <w:rsid w:val="00D7374F"/>
    <w:rsid w:val="00D74603"/>
    <w:rsid w:val="00D74DF5"/>
    <w:rsid w:val="00D74E12"/>
    <w:rsid w:val="00D761CD"/>
    <w:rsid w:val="00D76B9B"/>
    <w:rsid w:val="00D76CA5"/>
    <w:rsid w:val="00D77CFB"/>
    <w:rsid w:val="00D77E83"/>
    <w:rsid w:val="00D77EE5"/>
    <w:rsid w:val="00D80025"/>
    <w:rsid w:val="00D809B9"/>
    <w:rsid w:val="00D80CC9"/>
    <w:rsid w:val="00D80EEE"/>
    <w:rsid w:val="00D81259"/>
    <w:rsid w:val="00D815AE"/>
    <w:rsid w:val="00D81780"/>
    <w:rsid w:val="00D818B6"/>
    <w:rsid w:val="00D827EE"/>
    <w:rsid w:val="00D82DA7"/>
    <w:rsid w:val="00D8488B"/>
    <w:rsid w:val="00D86D4D"/>
    <w:rsid w:val="00D87513"/>
    <w:rsid w:val="00D90E08"/>
    <w:rsid w:val="00D91F46"/>
    <w:rsid w:val="00D91F9E"/>
    <w:rsid w:val="00D9264E"/>
    <w:rsid w:val="00D92914"/>
    <w:rsid w:val="00D93404"/>
    <w:rsid w:val="00D93C11"/>
    <w:rsid w:val="00D942AB"/>
    <w:rsid w:val="00D94639"/>
    <w:rsid w:val="00D95D38"/>
    <w:rsid w:val="00D96A21"/>
    <w:rsid w:val="00D96BB1"/>
    <w:rsid w:val="00D97777"/>
    <w:rsid w:val="00D97DEE"/>
    <w:rsid w:val="00D97E51"/>
    <w:rsid w:val="00DA035A"/>
    <w:rsid w:val="00DA0E4F"/>
    <w:rsid w:val="00DA12B2"/>
    <w:rsid w:val="00DA18A5"/>
    <w:rsid w:val="00DA1C7C"/>
    <w:rsid w:val="00DA279B"/>
    <w:rsid w:val="00DA3682"/>
    <w:rsid w:val="00DA3BA3"/>
    <w:rsid w:val="00DA3C51"/>
    <w:rsid w:val="00DA4102"/>
    <w:rsid w:val="00DA45E1"/>
    <w:rsid w:val="00DA55DB"/>
    <w:rsid w:val="00DA6FFA"/>
    <w:rsid w:val="00DA7110"/>
    <w:rsid w:val="00DA77DF"/>
    <w:rsid w:val="00DB1158"/>
    <w:rsid w:val="00DB12F2"/>
    <w:rsid w:val="00DB1A82"/>
    <w:rsid w:val="00DB1AA1"/>
    <w:rsid w:val="00DB1DB3"/>
    <w:rsid w:val="00DB22B8"/>
    <w:rsid w:val="00DB2FE1"/>
    <w:rsid w:val="00DB3C15"/>
    <w:rsid w:val="00DB3E88"/>
    <w:rsid w:val="00DB4541"/>
    <w:rsid w:val="00DB586D"/>
    <w:rsid w:val="00DB6586"/>
    <w:rsid w:val="00DB6ACE"/>
    <w:rsid w:val="00DB772E"/>
    <w:rsid w:val="00DB7BA9"/>
    <w:rsid w:val="00DC19D3"/>
    <w:rsid w:val="00DC216A"/>
    <w:rsid w:val="00DC27A1"/>
    <w:rsid w:val="00DC2E40"/>
    <w:rsid w:val="00DC3E56"/>
    <w:rsid w:val="00DC4725"/>
    <w:rsid w:val="00DC49EB"/>
    <w:rsid w:val="00DC699D"/>
    <w:rsid w:val="00DC6AD1"/>
    <w:rsid w:val="00DC6E5D"/>
    <w:rsid w:val="00DC6E70"/>
    <w:rsid w:val="00DC7A27"/>
    <w:rsid w:val="00DD0138"/>
    <w:rsid w:val="00DD05FA"/>
    <w:rsid w:val="00DD086E"/>
    <w:rsid w:val="00DD0F2D"/>
    <w:rsid w:val="00DD12E3"/>
    <w:rsid w:val="00DD19FE"/>
    <w:rsid w:val="00DD1AB9"/>
    <w:rsid w:val="00DD1B9B"/>
    <w:rsid w:val="00DD26F3"/>
    <w:rsid w:val="00DD2A62"/>
    <w:rsid w:val="00DD2EC1"/>
    <w:rsid w:val="00DD39CC"/>
    <w:rsid w:val="00DD3A62"/>
    <w:rsid w:val="00DD3D40"/>
    <w:rsid w:val="00DD5207"/>
    <w:rsid w:val="00DD5944"/>
    <w:rsid w:val="00DD60F1"/>
    <w:rsid w:val="00DD6BDA"/>
    <w:rsid w:val="00DD6E6E"/>
    <w:rsid w:val="00DD760D"/>
    <w:rsid w:val="00DD7B1D"/>
    <w:rsid w:val="00DD7EC1"/>
    <w:rsid w:val="00DE066E"/>
    <w:rsid w:val="00DE0D3A"/>
    <w:rsid w:val="00DE16EF"/>
    <w:rsid w:val="00DE1B08"/>
    <w:rsid w:val="00DE2112"/>
    <w:rsid w:val="00DE2E39"/>
    <w:rsid w:val="00DE2E40"/>
    <w:rsid w:val="00DE4EBB"/>
    <w:rsid w:val="00DE5201"/>
    <w:rsid w:val="00DE52F4"/>
    <w:rsid w:val="00DE59CB"/>
    <w:rsid w:val="00DE70DC"/>
    <w:rsid w:val="00DE7A27"/>
    <w:rsid w:val="00DE7C50"/>
    <w:rsid w:val="00DF04EE"/>
    <w:rsid w:val="00DF0AAE"/>
    <w:rsid w:val="00DF0E23"/>
    <w:rsid w:val="00DF1413"/>
    <w:rsid w:val="00DF1601"/>
    <w:rsid w:val="00DF1B4B"/>
    <w:rsid w:val="00DF1BF1"/>
    <w:rsid w:val="00DF1D6F"/>
    <w:rsid w:val="00DF2240"/>
    <w:rsid w:val="00DF2259"/>
    <w:rsid w:val="00DF279E"/>
    <w:rsid w:val="00DF4C9E"/>
    <w:rsid w:val="00DF5081"/>
    <w:rsid w:val="00DF50CF"/>
    <w:rsid w:val="00DF51F4"/>
    <w:rsid w:val="00DF5DE9"/>
    <w:rsid w:val="00DF6640"/>
    <w:rsid w:val="00DF6C3B"/>
    <w:rsid w:val="00DF6D3E"/>
    <w:rsid w:val="00DF79A2"/>
    <w:rsid w:val="00DF7ADB"/>
    <w:rsid w:val="00DF7CA5"/>
    <w:rsid w:val="00E00F24"/>
    <w:rsid w:val="00E01359"/>
    <w:rsid w:val="00E01563"/>
    <w:rsid w:val="00E01725"/>
    <w:rsid w:val="00E02E04"/>
    <w:rsid w:val="00E040FC"/>
    <w:rsid w:val="00E04D44"/>
    <w:rsid w:val="00E057C2"/>
    <w:rsid w:val="00E06173"/>
    <w:rsid w:val="00E0632F"/>
    <w:rsid w:val="00E06757"/>
    <w:rsid w:val="00E06CAC"/>
    <w:rsid w:val="00E07D28"/>
    <w:rsid w:val="00E1030F"/>
    <w:rsid w:val="00E10501"/>
    <w:rsid w:val="00E10868"/>
    <w:rsid w:val="00E10A8A"/>
    <w:rsid w:val="00E10F62"/>
    <w:rsid w:val="00E11C1E"/>
    <w:rsid w:val="00E12396"/>
    <w:rsid w:val="00E12700"/>
    <w:rsid w:val="00E12806"/>
    <w:rsid w:val="00E12BF9"/>
    <w:rsid w:val="00E12D65"/>
    <w:rsid w:val="00E13653"/>
    <w:rsid w:val="00E144E5"/>
    <w:rsid w:val="00E1583D"/>
    <w:rsid w:val="00E15A1D"/>
    <w:rsid w:val="00E16151"/>
    <w:rsid w:val="00E16417"/>
    <w:rsid w:val="00E16A3F"/>
    <w:rsid w:val="00E16C0F"/>
    <w:rsid w:val="00E17F5A"/>
    <w:rsid w:val="00E2172E"/>
    <w:rsid w:val="00E21C89"/>
    <w:rsid w:val="00E22BE7"/>
    <w:rsid w:val="00E23B07"/>
    <w:rsid w:val="00E23C6C"/>
    <w:rsid w:val="00E24757"/>
    <w:rsid w:val="00E25B2E"/>
    <w:rsid w:val="00E26561"/>
    <w:rsid w:val="00E26806"/>
    <w:rsid w:val="00E26975"/>
    <w:rsid w:val="00E26A46"/>
    <w:rsid w:val="00E26DB0"/>
    <w:rsid w:val="00E27F21"/>
    <w:rsid w:val="00E307D0"/>
    <w:rsid w:val="00E307F8"/>
    <w:rsid w:val="00E30A1B"/>
    <w:rsid w:val="00E312ED"/>
    <w:rsid w:val="00E31AC3"/>
    <w:rsid w:val="00E31D9F"/>
    <w:rsid w:val="00E31F1B"/>
    <w:rsid w:val="00E3355A"/>
    <w:rsid w:val="00E33CAE"/>
    <w:rsid w:val="00E3468E"/>
    <w:rsid w:val="00E3475C"/>
    <w:rsid w:val="00E350F1"/>
    <w:rsid w:val="00E35C34"/>
    <w:rsid w:val="00E35DEA"/>
    <w:rsid w:val="00E375A6"/>
    <w:rsid w:val="00E379DF"/>
    <w:rsid w:val="00E4089E"/>
    <w:rsid w:val="00E40B22"/>
    <w:rsid w:val="00E419CF"/>
    <w:rsid w:val="00E42C74"/>
    <w:rsid w:val="00E44B2F"/>
    <w:rsid w:val="00E44E71"/>
    <w:rsid w:val="00E457F7"/>
    <w:rsid w:val="00E46734"/>
    <w:rsid w:val="00E50A56"/>
    <w:rsid w:val="00E50C96"/>
    <w:rsid w:val="00E51A56"/>
    <w:rsid w:val="00E52079"/>
    <w:rsid w:val="00E5207C"/>
    <w:rsid w:val="00E52A89"/>
    <w:rsid w:val="00E52FFB"/>
    <w:rsid w:val="00E548B5"/>
    <w:rsid w:val="00E552C2"/>
    <w:rsid w:val="00E55D05"/>
    <w:rsid w:val="00E565C8"/>
    <w:rsid w:val="00E566BC"/>
    <w:rsid w:val="00E60AFD"/>
    <w:rsid w:val="00E6159C"/>
    <w:rsid w:val="00E6191F"/>
    <w:rsid w:val="00E6442E"/>
    <w:rsid w:val="00E64484"/>
    <w:rsid w:val="00E66723"/>
    <w:rsid w:val="00E671B7"/>
    <w:rsid w:val="00E70854"/>
    <w:rsid w:val="00E708E8"/>
    <w:rsid w:val="00E70DBA"/>
    <w:rsid w:val="00E70DF3"/>
    <w:rsid w:val="00E71075"/>
    <w:rsid w:val="00E71302"/>
    <w:rsid w:val="00E7288E"/>
    <w:rsid w:val="00E733C6"/>
    <w:rsid w:val="00E73988"/>
    <w:rsid w:val="00E741EC"/>
    <w:rsid w:val="00E746B5"/>
    <w:rsid w:val="00E75886"/>
    <w:rsid w:val="00E75CAB"/>
    <w:rsid w:val="00E76778"/>
    <w:rsid w:val="00E76F6B"/>
    <w:rsid w:val="00E77703"/>
    <w:rsid w:val="00E80C5D"/>
    <w:rsid w:val="00E80F1C"/>
    <w:rsid w:val="00E8118A"/>
    <w:rsid w:val="00E82107"/>
    <w:rsid w:val="00E82FAE"/>
    <w:rsid w:val="00E83C76"/>
    <w:rsid w:val="00E83ED8"/>
    <w:rsid w:val="00E841E4"/>
    <w:rsid w:val="00E84433"/>
    <w:rsid w:val="00E85185"/>
    <w:rsid w:val="00E853A2"/>
    <w:rsid w:val="00E855A9"/>
    <w:rsid w:val="00E857F1"/>
    <w:rsid w:val="00E85902"/>
    <w:rsid w:val="00E85A08"/>
    <w:rsid w:val="00E85E10"/>
    <w:rsid w:val="00E8688F"/>
    <w:rsid w:val="00E86977"/>
    <w:rsid w:val="00E86DB1"/>
    <w:rsid w:val="00E86DF0"/>
    <w:rsid w:val="00E87513"/>
    <w:rsid w:val="00E87D34"/>
    <w:rsid w:val="00E9053C"/>
    <w:rsid w:val="00E917B2"/>
    <w:rsid w:val="00E9262B"/>
    <w:rsid w:val="00E9364B"/>
    <w:rsid w:val="00E939F2"/>
    <w:rsid w:val="00E93D41"/>
    <w:rsid w:val="00E93EB6"/>
    <w:rsid w:val="00E9408C"/>
    <w:rsid w:val="00E952DB"/>
    <w:rsid w:val="00E9544D"/>
    <w:rsid w:val="00E95E4C"/>
    <w:rsid w:val="00E9602C"/>
    <w:rsid w:val="00E97A2D"/>
    <w:rsid w:val="00EA015C"/>
    <w:rsid w:val="00EA05EC"/>
    <w:rsid w:val="00EA0AAB"/>
    <w:rsid w:val="00EA0B2B"/>
    <w:rsid w:val="00EA0DC0"/>
    <w:rsid w:val="00EA13D7"/>
    <w:rsid w:val="00EA26BF"/>
    <w:rsid w:val="00EA410B"/>
    <w:rsid w:val="00EA44D7"/>
    <w:rsid w:val="00EA48AE"/>
    <w:rsid w:val="00EA4F22"/>
    <w:rsid w:val="00EA574E"/>
    <w:rsid w:val="00EA5B6A"/>
    <w:rsid w:val="00EA6420"/>
    <w:rsid w:val="00EA740F"/>
    <w:rsid w:val="00EA76A9"/>
    <w:rsid w:val="00EA7F69"/>
    <w:rsid w:val="00EB0AFD"/>
    <w:rsid w:val="00EB1828"/>
    <w:rsid w:val="00EB254A"/>
    <w:rsid w:val="00EB2727"/>
    <w:rsid w:val="00EB2BDB"/>
    <w:rsid w:val="00EB40B1"/>
    <w:rsid w:val="00EB45B1"/>
    <w:rsid w:val="00EB4618"/>
    <w:rsid w:val="00EB4676"/>
    <w:rsid w:val="00EB50FF"/>
    <w:rsid w:val="00EB5100"/>
    <w:rsid w:val="00EB53FE"/>
    <w:rsid w:val="00EB5433"/>
    <w:rsid w:val="00EB557A"/>
    <w:rsid w:val="00EB683B"/>
    <w:rsid w:val="00EB6873"/>
    <w:rsid w:val="00EB6B68"/>
    <w:rsid w:val="00EB6BB5"/>
    <w:rsid w:val="00EB6D22"/>
    <w:rsid w:val="00EB75E5"/>
    <w:rsid w:val="00EC07A9"/>
    <w:rsid w:val="00EC204C"/>
    <w:rsid w:val="00EC2684"/>
    <w:rsid w:val="00EC26D9"/>
    <w:rsid w:val="00EC29E4"/>
    <w:rsid w:val="00EC29FF"/>
    <w:rsid w:val="00EC3372"/>
    <w:rsid w:val="00EC537A"/>
    <w:rsid w:val="00EC570D"/>
    <w:rsid w:val="00EC60EB"/>
    <w:rsid w:val="00EC7EAC"/>
    <w:rsid w:val="00ED1288"/>
    <w:rsid w:val="00ED18A3"/>
    <w:rsid w:val="00ED1AB6"/>
    <w:rsid w:val="00ED1C70"/>
    <w:rsid w:val="00ED1E29"/>
    <w:rsid w:val="00ED3312"/>
    <w:rsid w:val="00ED3327"/>
    <w:rsid w:val="00ED43D5"/>
    <w:rsid w:val="00ED47C7"/>
    <w:rsid w:val="00ED4DB0"/>
    <w:rsid w:val="00ED5231"/>
    <w:rsid w:val="00ED54BE"/>
    <w:rsid w:val="00ED5648"/>
    <w:rsid w:val="00ED5740"/>
    <w:rsid w:val="00ED5752"/>
    <w:rsid w:val="00ED5B56"/>
    <w:rsid w:val="00ED5D71"/>
    <w:rsid w:val="00ED6208"/>
    <w:rsid w:val="00ED6359"/>
    <w:rsid w:val="00ED69FE"/>
    <w:rsid w:val="00ED7D02"/>
    <w:rsid w:val="00EE040D"/>
    <w:rsid w:val="00EE07FE"/>
    <w:rsid w:val="00EE1C21"/>
    <w:rsid w:val="00EE20EB"/>
    <w:rsid w:val="00EE215E"/>
    <w:rsid w:val="00EE289C"/>
    <w:rsid w:val="00EE2EAE"/>
    <w:rsid w:val="00EE3298"/>
    <w:rsid w:val="00EE33C8"/>
    <w:rsid w:val="00EE3400"/>
    <w:rsid w:val="00EE3E2D"/>
    <w:rsid w:val="00EE48FE"/>
    <w:rsid w:val="00EE595C"/>
    <w:rsid w:val="00EE607E"/>
    <w:rsid w:val="00EE6CB9"/>
    <w:rsid w:val="00EE7562"/>
    <w:rsid w:val="00EE791B"/>
    <w:rsid w:val="00EF0EC7"/>
    <w:rsid w:val="00EF0F9E"/>
    <w:rsid w:val="00EF1427"/>
    <w:rsid w:val="00EF3BC5"/>
    <w:rsid w:val="00EF406D"/>
    <w:rsid w:val="00EF4FC6"/>
    <w:rsid w:val="00EF535A"/>
    <w:rsid w:val="00EF60C1"/>
    <w:rsid w:val="00EF6F0A"/>
    <w:rsid w:val="00EF7645"/>
    <w:rsid w:val="00EF7C98"/>
    <w:rsid w:val="00EF7E5C"/>
    <w:rsid w:val="00EF7EF7"/>
    <w:rsid w:val="00EF7FCE"/>
    <w:rsid w:val="00F00A3A"/>
    <w:rsid w:val="00F00E97"/>
    <w:rsid w:val="00F015D6"/>
    <w:rsid w:val="00F01B60"/>
    <w:rsid w:val="00F03DF6"/>
    <w:rsid w:val="00F03E6C"/>
    <w:rsid w:val="00F04206"/>
    <w:rsid w:val="00F06F7C"/>
    <w:rsid w:val="00F07655"/>
    <w:rsid w:val="00F07DAB"/>
    <w:rsid w:val="00F07FE7"/>
    <w:rsid w:val="00F10886"/>
    <w:rsid w:val="00F109CF"/>
    <w:rsid w:val="00F112D0"/>
    <w:rsid w:val="00F119C1"/>
    <w:rsid w:val="00F11A6C"/>
    <w:rsid w:val="00F12923"/>
    <w:rsid w:val="00F12D09"/>
    <w:rsid w:val="00F12F71"/>
    <w:rsid w:val="00F132EC"/>
    <w:rsid w:val="00F1447B"/>
    <w:rsid w:val="00F150A5"/>
    <w:rsid w:val="00F15534"/>
    <w:rsid w:val="00F16A3D"/>
    <w:rsid w:val="00F16B1A"/>
    <w:rsid w:val="00F17388"/>
    <w:rsid w:val="00F17E6D"/>
    <w:rsid w:val="00F2144B"/>
    <w:rsid w:val="00F21998"/>
    <w:rsid w:val="00F21C47"/>
    <w:rsid w:val="00F22135"/>
    <w:rsid w:val="00F23314"/>
    <w:rsid w:val="00F23708"/>
    <w:rsid w:val="00F237EB"/>
    <w:rsid w:val="00F23DFC"/>
    <w:rsid w:val="00F27171"/>
    <w:rsid w:val="00F27284"/>
    <w:rsid w:val="00F27C4C"/>
    <w:rsid w:val="00F300BA"/>
    <w:rsid w:val="00F3021F"/>
    <w:rsid w:val="00F3132F"/>
    <w:rsid w:val="00F31FB7"/>
    <w:rsid w:val="00F320B6"/>
    <w:rsid w:val="00F320BE"/>
    <w:rsid w:val="00F32FBB"/>
    <w:rsid w:val="00F3311A"/>
    <w:rsid w:val="00F3327E"/>
    <w:rsid w:val="00F338FD"/>
    <w:rsid w:val="00F33A07"/>
    <w:rsid w:val="00F33BC1"/>
    <w:rsid w:val="00F33F92"/>
    <w:rsid w:val="00F34290"/>
    <w:rsid w:val="00F342C9"/>
    <w:rsid w:val="00F3467C"/>
    <w:rsid w:val="00F34BA6"/>
    <w:rsid w:val="00F34EA2"/>
    <w:rsid w:val="00F36BA3"/>
    <w:rsid w:val="00F3706E"/>
    <w:rsid w:val="00F37B35"/>
    <w:rsid w:val="00F37C79"/>
    <w:rsid w:val="00F40B9F"/>
    <w:rsid w:val="00F41AD7"/>
    <w:rsid w:val="00F4221A"/>
    <w:rsid w:val="00F42967"/>
    <w:rsid w:val="00F42D80"/>
    <w:rsid w:val="00F44227"/>
    <w:rsid w:val="00F44308"/>
    <w:rsid w:val="00F44346"/>
    <w:rsid w:val="00F44B2F"/>
    <w:rsid w:val="00F4594D"/>
    <w:rsid w:val="00F45F28"/>
    <w:rsid w:val="00F4653E"/>
    <w:rsid w:val="00F46783"/>
    <w:rsid w:val="00F4745C"/>
    <w:rsid w:val="00F47778"/>
    <w:rsid w:val="00F50209"/>
    <w:rsid w:val="00F50605"/>
    <w:rsid w:val="00F50F67"/>
    <w:rsid w:val="00F51A3C"/>
    <w:rsid w:val="00F51EFC"/>
    <w:rsid w:val="00F52307"/>
    <w:rsid w:val="00F52A7E"/>
    <w:rsid w:val="00F52C21"/>
    <w:rsid w:val="00F52E06"/>
    <w:rsid w:val="00F53366"/>
    <w:rsid w:val="00F53C85"/>
    <w:rsid w:val="00F53F1C"/>
    <w:rsid w:val="00F54102"/>
    <w:rsid w:val="00F546D6"/>
    <w:rsid w:val="00F55CC9"/>
    <w:rsid w:val="00F56423"/>
    <w:rsid w:val="00F56AEB"/>
    <w:rsid w:val="00F57168"/>
    <w:rsid w:val="00F578E8"/>
    <w:rsid w:val="00F57EDA"/>
    <w:rsid w:val="00F608AA"/>
    <w:rsid w:val="00F60BCC"/>
    <w:rsid w:val="00F61F15"/>
    <w:rsid w:val="00F624E1"/>
    <w:rsid w:val="00F62BC1"/>
    <w:rsid w:val="00F63568"/>
    <w:rsid w:val="00F636F6"/>
    <w:rsid w:val="00F63A07"/>
    <w:rsid w:val="00F63C26"/>
    <w:rsid w:val="00F63F70"/>
    <w:rsid w:val="00F65E66"/>
    <w:rsid w:val="00F661AE"/>
    <w:rsid w:val="00F67450"/>
    <w:rsid w:val="00F676C3"/>
    <w:rsid w:val="00F67AB7"/>
    <w:rsid w:val="00F67BD9"/>
    <w:rsid w:val="00F70572"/>
    <w:rsid w:val="00F70A2B"/>
    <w:rsid w:val="00F70FD8"/>
    <w:rsid w:val="00F720B9"/>
    <w:rsid w:val="00F727C2"/>
    <w:rsid w:val="00F73518"/>
    <w:rsid w:val="00F7396C"/>
    <w:rsid w:val="00F73975"/>
    <w:rsid w:val="00F74838"/>
    <w:rsid w:val="00F74996"/>
    <w:rsid w:val="00F7525F"/>
    <w:rsid w:val="00F754F2"/>
    <w:rsid w:val="00F760C9"/>
    <w:rsid w:val="00F765CA"/>
    <w:rsid w:val="00F76D35"/>
    <w:rsid w:val="00F77B9C"/>
    <w:rsid w:val="00F77DD0"/>
    <w:rsid w:val="00F77E70"/>
    <w:rsid w:val="00F80644"/>
    <w:rsid w:val="00F80C63"/>
    <w:rsid w:val="00F82E99"/>
    <w:rsid w:val="00F8312C"/>
    <w:rsid w:val="00F8383C"/>
    <w:rsid w:val="00F83913"/>
    <w:rsid w:val="00F83C00"/>
    <w:rsid w:val="00F84C16"/>
    <w:rsid w:val="00F854B2"/>
    <w:rsid w:val="00F854B9"/>
    <w:rsid w:val="00F859F7"/>
    <w:rsid w:val="00F85A12"/>
    <w:rsid w:val="00F8655E"/>
    <w:rsid w:val="00F86AC0"/>
    <w:rsid w:val="00F9013B"/>
    <w:rsid w:val="00F9028B"/>
    <w:rsid w:val="00F90A13"/>
    <w:rsid w:val="00F91DF7"/>
    <w:rsid w:val="00F92F66"/>
    <w:rsid w:val="00F93A08"/>
    <w:rsid w:val="00F94F54"/>
    <w:rsid w:val="00F95042"/>
    <w:rsid w:val="00F9546F"/>
    <w:rsid w:val="00F9569B"/>
    <w:rsid w:val="00F970E0"/>
    <w:rsid w:val="00F97435"/>
    <w:rsid w:val="00F97B2E"/>
    <w:rsid w:val="00FA0854"/>
    <w:rsid w:val="00FA1127"/>
    <w:rsid w:val="00FA14D1"/>
    <w:rsid w:val="00FA1F74"/>
    <w:rsid w:val="00FA2F9D"/>
    <w:rsid w:val="00FA3357"/>
    <w:rsid w:val="00FA39DF"/>
    <w:rsid w:val="00FA3BE4"/>
    <w:rsid w:val="00FA42D2"/>
    <w:rsid w:val="00FA5636"/>
    <w:rsid w:val="00FA5D97"/>
    <w:rsid w:val="00FA5EF6"/>
    <w:rsid w:val="00FA66EC"/>
    <w:rsid w:val="00FA7103"/>
    <w:rsid w:val="00FA7505"/>
    <w:rsid w:val="00FA7641"/>
    <w:rsid w:val="00FA79DE"/>
    <w:rsid w:val="00FB0488"/>
    <w:rsid w:val="00FB0B3B"/>
    <w:rsid w:val="00FB249D"/>
    <w:rsid w:val="00FB264F"/>
    <w:rsid w:val="00FB2AD1"/>
    <w:rsid w:val="00FB3CE0"/>
    <w:rsid w:val="00FB528E"/>
    <w:rsid w:val="00FB55F1"/>
    <w:rsid w:val="00FB6C58"/>
    <w:rsid w:val="00FB7922"/>
    <w:rsid w:val="00FC0502"/>
    <w:rsid w:val="00FC08F9"/>
    <w:rsid w:val="00FC0C37"/>
    <w:rsid w:val="00FC0FE3"/>
    <w:rsid w:val="00FC14A4"/>
    <w:rsid w:val="00FC23FB"/>
    <w:rsid w:val="00FC274F"/>
    <w:rsid w:val="00FC2DB3"/>
    <w:rsid w:val="00FC3323"/>
    <w:rsid w:val="00FC4BB4"/>
    <w:rsid w:val="00FC4D5A"/>
    <w:rsid w:val="00FC6038"/>
    <w:rsid w:val="00FC6121"/>
    <w:rsid w:val="00FC6349"/>
    <w:rsid w:val="00FC6C45"/>
    <w:rsid w:val="00FC744A"/>
    <w:rsid w:val="00FC7FDA"/>
    <w:rsid w:val="00FD06AD"/>
    <w:rsid w:val="00FD0722"/>
    <w:rsid w:val="00FD134B"/>
    <w:rsid w:val="00FD1D58"/>
    <w:rsid w:val="00FD2648"/>
    <w:rsid w:val="00FD26E0"/>
    <w:rsid w:val="00FD2A5D"/>
    <w:rsid w:val="00FD2DC2"/>
    <w:rsid w:val="00FD33C7"/>
    <w:rsid w:val="00FD34F8"/>
    <w:rsid w:val="00FD50AF"/>
    <w:rsid w:val="00FD5A90"/>
    <w:rsid w:val="00FD6257"/>
    <w:rsid w:val="00FD6AF4"/>
    <w:rsid w:val="00FD6B26"/>
    <w:rsid w:val="00FD6BA2"/>
    <w:rsid w:val="00FD6E5B"/>
    <w:rsid w:val="00FD779D"/>
    <w:rsid w:val="00FD7CD1"/>
    <w:rsid w:val="00FE0953"/>
    <w:rsid w:val="00FE0CCB"/>
    <w:rsid w:val="00FE1931"/>
    <w:rsid w:val="00FE1EE4"/>
    <w:rsid w:val="00FE25A1"/>
    <w:rsid w:val="00FE3E91"/>
    <w:rsid w:val="00FE4766"/>
    <w:rsid w:val="00FE4E2C"/>
    <w:rsid w:val="00FE508E"/>
    <w:rsid w:val="00FE5BCC"/>
    <w:rsid w:val="00FE602D"/>
    <w:rsid w:val="00FE60A3"/>
    <w:rsid w:val="00FE6DB9"/>
    <w:rsid w:val="00FE6DD3"/>
    <w:rsid w:val="00FE7AF4"/>
    <w:rsid w:val="00FF0F84"/>
    <w:rsid w:val="00FF10CA"/>
    <w:rsid w:val="00FF1383"/>
    <w:rsid w:val="00FF221E"/>
    <w:rsid w:val="00FF228F"/>
    <w:rsid w:val="00FF2EE2"/>
    <w:rsid w:val="00FF34EC"/>
    <w:rsid w:val="00FF49AE"/>
    <w:rsid w:val="00FF55A8"/>
    <w:rsid w:val="00FF5CF5"/>
    <w:rsid w:val="00FF6356"/>
    <w:rsid w:val="00FF6B0A"/>
    <w:rsid w:val="00FF6D22"/>
    <w:rsid w:val="00FF7B87"/>
    <w:rsid w:val="00FF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01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CEB"/>
    <w:pPr>
      <w:spacing w:after="0" w:line="240" w:lineRule="auto"/>
    </w:pPr>
    <w:rPr>
      <w:rFonts w:ascii="Times New Roman" w:eastAsia="Times New Roman" w:hAnsi="Times New Roman" w:cs="Arial"/>
      <w:color w:val="000000"/>
      <w:sz w:val="24"/>
      <w:szCs w:val="24"/>
    </w:rPr>
  </w:style>
  <w:style w:type="paragraph" w:styleId="Heading1">
    <w:name w:val="heading 1"/>
    <w:basedOn w:val="Normal"/>
    <w:next w:val="Normal"/>
    <w:link w:val="Heading1Char"/>
    <w:qFormat/>
    <w:rsid w:val="003B4975"/>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A153B8"/>
    <w:pPr>
      <w:keepNext/>
      <w:spacing w:before="240" w:after="60"/>
      <w:outlineLvl w:val="1"/>
    </w:pPr>
    <w:rPr>
      <w:rFonts w:ascii="Verdana" w:hAnsi="Verdana"/>
      <w:b/>
      <w:bCs/>
      <w:iCs/>
      <w:sz w:val="20"/>
      <w:szCs w:val="20"/>
    </w:rPr>
  </w:style>
  <w:style w:type="paragraph" w:styleId="Heading3">
    <w:name w:val="heading 3"/>
    <w:basedOn w:val="Normal"/>
    <w:next w:val="Normal"/>
    <w:link w:val="Heading3Char"/>
    <w:uiPriority w:val="9"/>
    <w:unhideWhenUsed/>
    <w:qFormat/>
    <w:rsid w:val="00E853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4E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975"/>
    <w:rPr>
      <w:rFonts w:ascii="Arial" w:eastAsia="Times New Roman" w:hAnsi="Arial" w:cs="Arial"/>
      <w:b/>
      <w:bCs/>
      <w:color w:val="000000"/>
      <w:kern w:val="32"/>
      <w:sz w:val="32"/>
      <w:szCs w:val="32"/>
    </w:rPr>
  </w:style>
  <w:style w:type="character" w:customStyle="1" w:styleId="Heading2Char">
    <w:name w:val="Heading 2 Char"/>
    <w:basedOn w:val="DefaultParagraphFont"/>
    <w:link w:val="Heading2"/>
    <w:rsid w:val="00A153B8"/>
    <w:rPr>
      <w:rFonts w:ascii="Verdana" w:eastAsia="Times New Roman" w:hAnsi="Verdana" w:cs="Arial"/>
      <w:b/>
      <w:bCs/>
      <w:iCs/>
      <w:color w:val="000000"/>
      <w:sz w:val="20"/>
      <w:szCs w:val="20"/>
    </w:rPr>
  </w:style>
  <w:style w:type="character" w:customStyle="1" w:styleId="Heading4Char">
    <w:name w:val="Heading 4 Char"/>
    <w:basedOn w:val="DefaultParagraphFont"/>
    <w:link w:val="Heading4"/>
    <w:uiPriority w:val="9"/>
    <w:rsid w:val="00534E3D"/>
    <w:rPr>
      <w:rFonts w:asciiTheme="majorHAnsi" w:eastAsiaTheme="majorEastAsia" w:hAnsiTheme="majorHAnsi" w:cstheme="majorBidi"/>
      <w:b/>
      <w:bCs/>
      <w:i/>
      <w:iCs/>
      <w:color w:val="4F81BD" w:themeColor="accent1"/>
      <w:sz w:val="24"/>
      <w:szCs w:val="24"/>
    </w:rPr>
  </w:style>
  <w:style w:type="paragraph" w:styleId="Footer">
    <w:name w:val="footer"/>
    <w:basedOn w:val="Normal"/>
    <w:link w:val="FooterChar"/>
    <w:uiPriority w:val="99"/>
    <w:rsid w:val="003B4975"/>
    <w:pPr>
      <w:tabs>
        <w:tab w:val="center" w:pos="4320"/>
        <w:tab w:val="right" w:pos="8640"/>
      </w:tabs>
    </w:pPr>
  </w:style>
  <w:style w:type="character" w:customStyle="1" w:styleId="FooterChar">
    <w:name w:val="Footer Char"/>
    <w:basedOn w:val="DefaultParagraphFont"/>
    <w:link w:val="Footer"/>
    <w:uiPriority w:val="99"/>
    <w:rsid w:val="003B4975"/>
    <w:rPr>
      <w:rFonts w:ascii="Times New Roman" w:eastAsia="Times New Roman" w:hAnsi="Times New Roman" w:cs="Arial"/>
      <w:color w:val="000000"/>
      <w:sz w:val="24"/>
      <w:szCs w:val="24"/>
    </w:rPr>
  </w:style>
  <w:style w:type="character" w:styleId="PageNumber">
    <w:name w:val="page number"/>
    <w:basedOn w:val="DefaultParagraphFont"/>
    <w:rsid w:val="003B4975"/>
  </w:style>
  <w:style w:type="character" w:styleId="CommentReference">
    <w:name w:val="annotation reference"/>
    <w:basedOn w:val="DefaultParagraphFont"/>
    <w:uiPriority w:val="99"/>
    <w:semiHidden/>
    <w:rsid w:val="003B4975"/>
    <w:rPr>
      <w:sz w:val="16"/>
      <w:szCs w:val="16"/>
    </w:rPr>
  </w:style>
  <w:style w:type="paragraph" w:styleId="CommentText">
    <w:name w:val="annotation text"/>
    <w:basedOn w:val="Normal"/>
    <w:link w:val="CommentTextChar"/>
    <w:semiHidden/>
    <w:rsid w:val="003B4975"/>
    <w:rPr>
      <w:sz w:val="20"/>
      <w:szCs w:val="20"/>
    </w:rPr>
  </w:style>
  <w:style w:type="character" w:customStyle="1" w:styleId="CommentTextChar">
    <w:name w:val="Comment Text Char"/>
    <w:basedOn w:val="DefaultParagraphFont"/>
    <w:link w:val="CommentText"/>
    <w:semiHidden/>
    <w:rsid w:val="003B4975"/>
    <w:rPr>
      <w:rFonts w:ascii="Times New Roman" w:eastAsia="Times New Roman" w:hAnsi="Times New Roman" w:cs="Arial"/>
      <w:color w:val="000000"/>
      <w:sz w:val="20"/>
      <w:szCs w:val="20"/>
    </w:rPr>
  </w:style>
  <w:style w:type="paragraph" w:customStyle="1" w:styleId="msolistparagraph0">
    <w:name w:val="msolistparagraph"/>
    <w:basedOn w:val="Normal"/>
    <w:rsid w:val="003B4975"/>
    <w:pPr>
      <w:spacing w:before="100" w:beforeAutospacing="1" w:after="100" w:afterAutospacing="1"/>
    </w:pPr>
    <w:rPr>
      <w:rFonts w:cs="Times New Roman"/>
      <w:color w:val="auto"/>
    </w:rPr>
  </w:style>
  <w:style w:type="paragraph" w:customStyle="1" w:styleId="Default">
    <w:name w:val="Default"/>
    <w:rsid w:val="003B49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B4975"/>
    <w:rPr>
      <w:rFonts w:ascii="Tahoma" w:hAnsi="Tahoma" w:cs="Tahoma"/>
      <w:sz w:val="16"/>
      <w:szCs w:val="16"/>
    </w:rPr>
  </w:style>
  <w:style w:type="character" w:customStyle="1" w:styleId="BalloonTextChar">
    <w:name w:val="Balloon Text Char"/>
    <w:basedOn w:val="DefaultParagraphFont"/>
    <w:link w:val="BalloonText"/>
    <w:uiPriority w:val="99"/>
    <w:semiHidden/>
    <w:rsid w:val="003B4975"/>
    <w:rPr>
      <w:rFonts w:ascii="Tahoma" w:eastAsia="Times New Roman" w:hAnsi="Tahoma" w:cs="Tahoma"/>
      <w:color w:val="000000"/>
      <w:sz w:val="16"/>
      <w:szCs w:val="16"/>
    </w:rPr>
  </w:style>
  <w:style w:type="paragraph" w:styleId="Revision">
    <w:name w:val="Revision"/>
    <w:hidden/>
    <w:uiPriority w:val="99"/>
    <w:semiHidden/>
    <w:rsid w:val="003B4975"/>
    <w:pPr>
      <w:spacing w:after="0" w:line="240" w:lineRule="auto"/>
    </w:pPr>
    <w:rPr>
      <w:rFonts w:ascii="Times New Roman" w:eastAsia="Times New Roman" w:hAnsi="Times New Roman" w:cs="Arial"/>
      <w:color w:val="000000"/>
      <w:sz w:val="24"/>
      <w:szCs w:val="24"/>
    </w:rPr>
  </w:style>
  <w:style w:type="paragraph" w:styleId="ListParagraph">
    <w:name w:val="List Paragraph"/>
    <w:basedOn w:val="Normal"/>
    <w:uiPriority w:val="34"/>
    <w:qFormat/>
    <w:rsid w:val="009F25A9"/>
    <w:pPr>
      <w:ind w:left="720"/>
      <w:contextualSpacing/>
    </w:pPr>
  </w:style>
  <w:style w:type="character" w:styleId="Hyperlink">
    <w:name w:val="Hyperlink"/>
    <w:basedOn w:val="DefaultParagraphFont"/>
    <w:uiPriority w:val="99"/>
    <w:rsid w:val="00534E3D"/>
    <w:rPr>
      <w:color w:val="0000FF"/>
      <w:u w:val="single"/>
    </w:rPr>
  </w:style>
  <w:style w:type="paragraph" w:styleId="Header">
    <w:name w:val="header"/>
    <w:basedOn w:val="Normal"/>
    <w:link w:val="HeaderChar"/>
    <w:uiPriority w:val="99"/>
    <w:rsid w:val="00534E3D"/>
    <w:pPr>
      <w:tabs>
        <w:tab w:val="center" w:pos="4320"/>
        <w:tab w:val="right" w:pos="8640"/>
      </w:tabs>
    </w:pPr>
  </w:style>
  <w:style w:type="character" w:customStyle="1" w:styleId="HeaderChar">
    <w:name w:val="Header Char"/>
    <w:basedOn w:val="DefaultParagraphFont"/>
    <w:link w:val="Header"/>
    <w:uiPriority w:val="99"/>
    <w:rsid w:val="00534E3D"/>
    <w:rPr>
      <w:rFonts w:ascii="Times New Roman" w:eastAsia="Times New Roman" w:hAnsi="Times New Roman" w:cs="Arial"/>
      <w:color w:val="000000"/>
      <w:sz w:val="24"/>
      <w:szCs w:val="24"/>
    </w:rPr>
  </w:style>
  <w:style w:type="paragraph" w:styleId="TOC1">
    <w:name w:val="toc 1"/>
    <w:basedOn w:val="Normal"/>
    <w:next w:val="Normal"/>
    <w:autoRedefine/>
    <w:uiPriority w:val="39"/>
    <w:rsid w:val="00534E3D"/>
    <w:pPr>
      <w:tabs>
        <w:tab w:val="right" w:leader="dot" w:pos="9350"/>
      </w:tabs>
      <w:spacing w:line="480" w:lineRule="auto"/>
    </w:pPr>
    <w:rPr>
      <w:rFonts w:ascii="Verdana" w:hAnsi="Verdana"/>
      <w:b/>
    </w:rPr>
  </w:style>
  <w:style w:type="paragraph" w:styleId="TOC2">
    <w:name w:val="toc 2"/>
    <w:basedOn w:val="Normal"/>
    <w:next w:val="Normal"/>
    <w:autoRedefine/>
    <w:uiPriority w:val="39"/>
    <w:rsid w:val="0068596D"/>
    <w:pPr>
      <w:tabs>
        <w:tab w:val="right" w:leader="dot" w:pos="9350"/>
      </w:tabs>
      <w:spacing w:after="200"/>
      <w:ind w:left="245"/>
    </w:pPr>
    <w:rPr>
      <w:rFonts w:ascii="Verdana" w:hAnsi="Verdana"/>
      <w:noProof/>
    </w:rPr>
  </w:style>
  <w:style w:type="paragraph" w:styleId="Caption">
    <w:name w:val="caption"/>
    <w:basedOn w:val="Normal"/>
    <w:next w:val="Normal"/>
    <w:uiPriority w:val="35"/>
    <w:unhideWhenUsed/>
    <w:qFormat/>
    <w:rsid w:val="00795367"/>
    <w:pPr>
      <w:spacing w:after="200"/>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rsid w:val="00680041"/>
    <w:rPr>
      <w:b/>
      <w:bCs/>
    </w:rPr>
  </w:style>
  <w:style w:type="character" w:customStyle="1" w:styleId="CommentSubjectChar">
    <w:name w:val="Comment Subject Char"/>
    <w:basedOn w:val="CommentTextChar"/>
    <w:link w:val="CommentSubject"/>
    <w:uiPriority w:val="99"/>
    <w:semiHidden/>
    <w:rsid w:val="00680041"/>
    <w:rPr>
      <w:rFonts w:ascii="Times New Roman" w:eastAsia="Times New Roman" w:hAnsi="Times New Roman" w:cs="Arial"/>
      <w:b/>
      <w:bCs/>
      <w:color w:val="000000"/>
      <w:sz w:val="20"/>
      <w:szCs w:val="20"/>
    </w:rPr>
  </w:style>
  <w:style w:type="character" w:styleId="FollowedHyperlink">
    <w:name w:val="FollowedHyperlink"/>
    <w:basedOn w:val="DefaultParagraphFont"/>
    <w:uiPriority w:val="99"/>
    <w:semiHidden/>
    <w:unhideWhenUsed/>
    <w:rsid w:val="0047180D"/>
    <w:rPr>
      <w:color w:val="800080"/>
      <w:u w:val="single"/>
    </w:rPr>
  </w:style>
  <w:style w:type="paragraph" w:customStyle="1" w:styleId="xl65">
    <w:name w:val="xl65"/>
    <w:basedOn w:val="Normal"/>
    <w:rsid w:val="0047180D"/>
    <w:pPr>
      <w:spacing w:before="100" w:beforeAutospacing="1" w:after="100" w:afterAutospacing="1"/>
      <w:jc w:val="center"/>
    </w:pPr>
    <w:rPr>
      <w:rFonts w:cs="Times New Roman"/>
      <w:color w:val="auto"/>
    </w:rPr>
  </w:style>
  <w:style w:type="paragraph" w:customStyle="1" w:styleId="xl66">
    <w:name w:val="xl66"/>
    <w:basedOn w:val="Normal"/>
    <w:rsid w:val="0047180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Calibri" w:hAnsi="Calibri" w:cs="Times New Roman"/>
      <w:color w:val="auto"/>
      <w:sz w:val="22"/>
      <w:szCs w:val="22"/>
    </w:rPr>
  </w:style>
  <w:style w:type="paragraph" w:customStyle="1" w:styleId="xl67">
    <w:name w:val="xl67"/>
    <w:basedOn w:val="Normal"/>
    <w:rsid w:val="00471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auto"/>
      <w:sz w:val="22"/>
      <w:szCs w:val="22"/>
    </w:rPr>
  </w:style>
  <w:style w:type="paragraph" w:customStyle="1" w:styleId="xl68">
    <w:name w:val="xl68"/>
    <w:basedOn w:val="Normal"/>
    <w:rsid w:val="00471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auto"/>
      <w:sz w:val="22"/>
      <w:szCs w:val="22"/>
    </w:rPr>
  </w:style>
  <w:style w:type="paragraph" w:customStyle="1" w:styleId="xl69">
    <w:name w:val="xl69"/>
    <w:basedOn w:val="Normal"/>
    <w:rsid w:val="00471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color w:val="auto"/>
      <w:sz w:val="22"/>
      <w:szCs w:val="22"/>
    </w:rPr>
  </w:style>
  <w:style w:type="paragraph" w:customStyle="1" w:styleId="xl70">
    <w:name w:val="xl70"/>
    <w:basedOn w:val="Normal"/>
    <w:rsid w:val="00471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sz w:val="22"/>
      <w:szCs w:val="22"/>
    </w:rPr>
  </w:style>
  <w:style w:type="paragraph" w:customStyle="1" w:styleId="xl71">
    <w:name w:val="xl71"/>
    <w:basedOn w:val="Normal"/>
    <w:rsid w:val="00471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color w:val="FF0000"/>
      <w:sz w:val="22"/>
      <w:szCs w:val="22"/>
    </w:rPr>
  </w:style>
  <w:style w:type="paragraph" w:customStyle="1" w:styleId="xl72">
    <w:name w:val="xl72"/>
    <w:basedOn w:val="Normal"/>
    <w:rsid w:val="004718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Calibri" w:hAnsi="Calibri" w:cs="Times New Roman"/>
      <w:color w:val="auto"/>
      <w:sz w:val="22"/>
      <w:szCs w:val="22"/>
    </w:rPr>
  </w:style>
  <w:style w:type="paragraph" w:customStyle="1" w:styleId="xl73">
    <w:name w:val="xl73"/>
    <w:basedOn w:val="Normal"/>
    <w:rsid w:val="00471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auto"/>
      <w:sz w:val="22"/>
      <w:szCs w:val="22"/>
    </w:rPr>
  </w:style>
  <w:style w:type="paragraph" w:customStyle="1" w:styleId="xl74">
    <w:name w:val="xl74"/>
    <w:basedOn w:val="Normal"/>
    <w:rsid w:val="004718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Times New Roman"/>
      <w:color w:val="auto"/>
      <w:sz w:val="22"/>
      <w:szCs w:val="22"/>
    </w:rPr>
  </w:style>
  <w:style w:type="paragraph" w:customStyle="1" w:styleId="xl75">
    <w:name w:val="xl75"/>
    <w:basedOn w:val="Normal"/>
    <w:rsid w:val="004718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Calibri" w:hAnsi="Calibri" w:cs="Times New Roman"/>
      <w:color w:val="auto"/>
      <w:sz w:val="22"/>
      <w:szCs w:val="22"/>
    </w:rPr>
  </w:style>
  <w:style w:type="paragraph" w:customStyle="1" w:styleId="xl76">
    <w:name w:val="xl76"/>
    <w:basedOn w:val="Normal"/>
    <w:rsid w:val="0047180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Calibri" w:hAnsi="Calibri" w:cs="Times New Roman"/>
      <w:color w:val="auto"/>
      <w:sz w:val="22"/>
      <w:szCs w:val="22"/>
    </w:rPr>
  </w:style>
  <w:style w:type="paragraph" w:customStyle="1" w:styleId="xl77">
    <w:name w:val="xl77"/>
    <w:basedOn w:val="Normal"/>
    <w:rsid w:val="004718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Calibri" w:hAnsi="Calibri" w:cs="Times New Roman"/>
      <w:color w:val="auto"/>
      <w:sz w:val="22"/>
      <w:szCs w:val="22"/>
    </w:rPr>
  </w:style>
  <w:style w:type="paragraph" w:customStyle="1" w:styleId="xl78">
    <w:name w:val="xl78"/>
    <w:basedOn w:val="Normal"/>
    <w:rsid w:val="004718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libri" w:hAnsi="Calibri" w:cs="Times New Roman"/>
      <w:color w:val="auto"/>
      <w:sz w:val="22"/>
      <w:szCs w:val="22"/>
    </w:rPr>
  </w:style>
  <w:style w:type="paragraph" w:customStyle="1" w:styleId="xl79">
    <w:name w:val="xl79"/>
    <w:basedOn w:val="Normal"/>
    <w:rsid w:val="004718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Calibri" w:hAnsi="Calibri" w:cs="Times New Roman"/>
      <w:color w:val="auto"/>
      <w:sz w:val="22"/>
      <w:szCs w:val="22"/>
    </w:rPr>
  </w:style>
  <w:style w:type="paragraph" w:customStyle="1" w:styleId="xl80">
    <w:name w:val="xl80"/>
    <w:basedOn w:val="Normal"/>
    <w:rsid w:val="004718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Times New Roman"/>
      <w:color w:val="auto"/>
    </w:rPr>
  </w:style>
  <w:style w:type="numbering" w:customStyle="1" w:styleId="NoList1">
    <w:name w:val="No List1"/>
    <w:next w:val="NoList"/>
    <w:uiPriority w:val="99"/>
    <w:semiHidden/>
    <w:unhideWhenUsed/>
    <w:rsid w:val="00AC46DE"/>
  </w:style>
  <w:style w:type="paragraph" w:styleId="EndnoteText">
    <w:name w:val="endnote text"/>
    <w:basedOn w:val="Normal"/>
    <w:link w:val="EndnoteTextChar"/>
    <w:uiPriority w:val="99"/>
    <w:semiHidden/>
    <w:unhideWhenUsed/>
    <w:rsid w:val="00AC46DE"/>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uiPriority w:val="99"/>
    <w:semiHidden/>
    <w:rsid w:val="00AC46DE"/>
    <w:rPr>
      <w:sz w:val="20"/>
      <w:szCs w:val="20"/>
    </w:rPr>
  </w:style>
  <w:style w:type="character" w:styleId="EndnoteReference">
    <w:name w:val="endnote reference"/>
    <w:basedOn w:val="DefaultParagraphFont"/>
    <w:uiPriority w:val="99"/>
    <w:semiHidden/>
    <w:unhideWhenUsed/>
    <w:rsid w:val="00AC46DE"/>
    <w:rPr>
      <w:vertAlign w:val="superscript"/>
    </w:rPr>
  </w:style>
  <w:style w:type="paragraph" w:styleId="BodyTextIndent3">
    <w:name w:val="Body Text Indent 3"/>
    <w:basedOn w:val="Normal"/>
    <w:link w:val="BodyTextIndent3Char"/>
    <w:rsid w:val="00AC46DE"/>
    <w:pPr>
      <w:spacing w:after="120"/>
      <w:ind w:left="360"/>
    </w:pPr>
    <w:rPr>
      <w:rFonts w:cs="Times New Roman"/>
      <w:color w:val="auto"/>
      <w:sz w:val="16"/>
      <w:szCs w:val="16"/>
    </w:rPr>
  </w:style>
  <w:style w:type="character" w:customStyle="1" w:styleId="BodyTextIndent3Char">
    <w:name w:val="Body Text Indent 3 Char"/>
    <w:basedOn w:val="DefaultParagraphFont"/>
    <w:link w:val="BodyTextIndent3"/>
    <w:rsid w:val="00AC46DE"/>
    <w:rPr>
      <w:rFonts w:ascii="Times New Roman" w:eastAsia="Times New Roman" w:hAnsi="Times New Roman" w:cs="Times New Roman"/>
      <w:sz w:val="16"/>
      <w:szCs w:val="16"/>
    </w:rPr>
  </w:style>
  <w:style w:type="paragraph" w:styleId="FootnoteText">
    <w:name w:val="footnote text"/>
    <w:basedOn w:val="Normal"/>
    <w:link w:val="FootnoteTextChar"/>
    <w:uiPriority w:val="99"/>
    <w:semiHidden/>
    <w:unhideWhenUsed/>
    <w:rsid w:val="00AC46DE"/>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AC46DE"/>
    <w:rPr>
      <w:sz w:val="20"/>
      <w:szCs w:val="20"/>
    </w:rPr>
  </w:style>
  <w:style w:type="character" w:styleId="FootnoteReference">
    <w:name w:val="footnote reference"/>
    <w:basedOn w:val="DefaultParagraphFont"/>
    <w:uiPriority w:val="99"/>
    <w:semiHidden/>
    <w:unhideWhenUsed/>
    <w:rsid w:val="00AC46DE"/>
    <w:rPr>
      <w:vertAlign w:val="superscript"/>
    </w:rPr>
  </w:style>
  <w:style w:type="paragraph" w:styleId="NoSpacing">
    <w:name w:val="No Spacing"/>
    <w:uiPriority w:val="1"/>
    <w:qFormat/>
    <w:rsid w:val="00AC46DE"/>
    <w:pPr>
      <w:spacing w:after="0" w:line="240" w:lineRule="auto"/>
    </w:pPr>
  </w:style>
  <w:style w:type="paragraph" w:styleId="BodyText2">
    <w:name w:val="Body Text 2"/>
    <w:basedOn w:val="Normal"/>
    <w:link w:val="BodyText2Char1"/>
    <w:rsid w:val="00C43CC0"/>
    <w:pPr>
      <w:spacing w:after="120" w:line="480" w:lineRule="auto"/>
    </w:pPr>
    <w:rPr>
      <w:rFonts w:cs="Times New Roman"/>
      <w:color w:val="auto"/>
      <w:szCs w:val="20"/>
    </w:rPr>
  </w:style>
  <w:style w:type="character" w:customStyle="1" w:styleId="BodyText2Char">
    <w:name w:val="Body Text 2 Char"/>
    <w:basedOn w:val="DefaultParagraphFont"/>
    <w:uiPriority w:val="99"/>
    <w:semiHidden/>
    <w:rsid w:val="00C43CC0"/>
    <w:rPr>
      <w:rFonts w:ascii="Times New Roman" w:eastAsia="Times New Roman" w:hAnsi="Times New Roman" w:cs="Arial"/>
      <w:color w:val="000000"/>
      <w:sz w:val="24"/>
      <w:szCs w:val="24"/>
    </w:rPr>
  </w:style>
  <w:style w:type="character" w:customStyle="1" w:styleId="BodyText2Char1">
    <w:name w:val="Body Text 2 Char1"/>
    <w:basedOn w:val="DefaultParagraphFont"/>
    <w:link w:val="BodyText2"/>
    <w:rsid w:val="00C43CC0"/>
    <w:rPr>
      <w:rFonts w:ascii="Times New Roman" w:eastAsia="Times New Roman" w:hAnsi="Times New Roman" w:cs="Times New Roman"/>
      <w:sz w:val="24"/>
      <w:szCs w:val="20"/>
    </w:rPr>
  </w:style>
  <w:style w:type="paragraph" w:styleId="NormalWeb">
    <w:name w:val="Normal (Web)"/>
    <w:basedOn w:val="Normal"/>
    <w:uiPriority w:val="99"/>
    <w:unhideWhenUsed/>
    <w:rsid w:val="007A1CFC"/>
    <w:pPr>
      <w:spacing w:before="100" w:beforeAutospacing="1" w:after="100" w:afterAutospacing="1"/>
    </w:pPr>
    <w:rPr>
      <w:rFonts w:cs="Times New Roman"/>
      <w:color w:val="auto"/>
    </w:rPr>
  </w:style>
  <w:style w:type="table" w:styleId="TableGrid">
    <w:name w:val="Table Grid"/>
    <w:basedOn w:val="TableNormal"/>
    <w:uiPriority w:val="59"/>
    <w:rsid w:val="0085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D47C7"/>
  </w:style>
  <w:style w:type="character" w:styleId="LineNumber">
    <w:name w:val="line number"/>
    <w:basedOn w:val="DefaultParagraphFont"/>
    <w:uiPriority w:val="99"/>
    <w:semiHidden/>
    <w:unhideWhenUsed/>
    <w:rsid w:val="00AE1651"/>
  </w:style>
  <w:style w:type="paragraph" w:customStyle="1" w:styleId="xl81">
    <w:name w:val="xl81"/>
    <w:basedOn w:val="Normal"/>
    <w:rsid w:val="00B4051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Verdana" w:hAnsi="Verdana" w:cs="Times New Roman"/>
    </w:rPr>
  </w:style>
  <w:style w:type="paragraph" w:customStyle="1" w:styleId="xl83">
    <w:name w:val="xl83"/>
    <w:basedOn w:val="Normal"/>
    <w:rsid w:val="00B40518"/>
    <w:pPr>
      <w:pBdr>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Verdana" w:hAnsi="Verdana" w:cs="Times New Roman"/>
    </w:rPr>
  </w:style>
  <w:style w:type="paragraph" w:customStyle="1" w:styleId="xl84">
    <w:name w:val="xl84"/>
    <w:basedOn w:val="Normal"/>
    <w:rsid w:val="00B4051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Verdana" w:hAnsi="Verdana" w:cs="Times New Roman"/>
    </w:rPr>
  </w:style>
  <w:style w:type="paragraph" w:customStyle="1" w:styleId="xl85">
    <w:name w:val="xl85"/>
    <w:basedOn w:val="Normal"/>
    <w:rsid w:val="00B40518"/>
    <w:pPr>
      <w:spacing w:before="100" w:beforeAutospacing="1" w:after="100" w:afterAutospacing="1"/>
      <w:jc w:val="center"/>
    </w:pPr>
    <w:rPr>
      <w:rFonts w:cs="Times New Roman"/>
      <w:color w:val="auto"/>
    </w:rPr>
  </w:style>
  <w:style w:type="paragraph" w:customStyle="1" w:styleId="xl86">
    <w:name w:val="xl86"/>
    <w:basedOn w:val="Normal"/>
    <w:rsid w:val="00B40518"/>
    <w:pPr>
      <w:pBdr>
        <w:bottom w:val="single" w:sz="4" w:space="0" w:color="000000"/>
        <w:right w:val="single" w:sz="4" w:space="0" w:color="000000"/>
      </w:pBdr>
      <w:shd w:val="clear" w:color="000000" w:fill="D9D9D9"/>
      <w:spacing w:before="100" w:beforeAutospacing="1" w:after="100" w:afterAutospacing="1"/>
      <w:jc w:val="center"/>
    </w:pPr>
    <w:rPr>
      <w:rFonts w:ascii="Verdana" w:hAnsi="Verdana" w:cs="Times New Roman"/>
    </w:rPr>
  </w:style>
  <w:style w:type="paragraph" w:customStyle="1" w:styleId="xl87">
    <w:name w:val="xl87"/>
    <w:basedOn w:val="Normal"/>
    <w:rsid w:val="00B4051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Verdana" w:hAnsi="Verdana" w:cs="Times New Roman"/>
    </w:rPr>
  </w:style>
  <w:style w:type="paragraph" w:customStyle="1" w:styleId="xl88">
    <w:name w:val="xl88"/>
    <w:basedOn w:val="Normal"/>
    <w:rsid w:val="00B40518"/>
    <w:pPr>
      <w:spacing w:before="100" w:beforeAutospacing="1" w:after="100" w:afterAutospacing="1"/>
    </w:pPr>
    <w:rPr>
      <w:rFonts w:cs="Times New Roman"/>
    </w:rPr>
  </w:style>
  <w:style w:type="paragraph" w:customStyle="1" w:styleId="xl89">
    <w:name w:val="xl89"/>
    <w:basedOn w:val="Normal"/>
    <w:rsid w:val="00B40518"/>
    <w:pPr>
      <w:spacing w:before="100" w:beforeAutospacing="1" w:after="100" w:afterAutospacing="1"/>
    </w:pPr>
    <w:rPr>
      <w:rFonts w:cs="Times New Roman"/>
      <w:color w:val="auto"/>
    </w:rPr>
  </w:style>
  <w:style w:type="paragraph" w:customStyle="1" w:styleId="xl90">
    <w:name w:val="xl90"/>
    <w:basedOn w:val="Normal"/>
    <w:rsid w:val="00B40518"/>
    <w:pPr>
      <w:spacing w:before="100" w:beforeAutospacing="1" w:after="100" w:afterAutospacing="1"/>
    </w:pPr>
    <w:rPr>
      <w:rFonts w:cs="Times New Roman"/>
    </w:rPr>
  </w:style>
  <w:style w:type="paragraph" w:customStyle="1" w:styleId="xl91">
    <w:name w:val="xl91"/>
    <w:basedOn w:val="Normal"/>
    <w:rsid w:val="00B40518"/>
    <w:pPr>
      <w:spacing w:before="100" w:beforeAutospacing="1" w:after="100" w:afterAutospacing="1"/>
    </w:pPr>
    <w:rPr>
      <w:rFonts w:cs="Times New Roman"/>
      <w:color w:val="auto"/>
    </w:rPr>
  </w:style>
  <w:style w:type="paragraph" w:customStyle="1" w:styleId="xl92">
    <w:name w:val="xl92"/>
    <w:basedOn w:val="Normal"/>
    <w:rsid w:val="00B40518"/>
    <w:pPr>
      <w:spacing w:before="100" w:beforeAutospacing="1" w:after="100" w:afterAutospacing="1"/>
    </w:pPr>
    <w:rPr>
      <w:rFonts w:cs="Times New Roman"/>
      <w:color w:val="auto"/>
    </w:rPr>
  </w:style>
  <w:style w:type="paragraph" w:customStyle="1" w:styleId="xl93">
    <w:name w:val="xl93"/>
    <w:basedOn w:val="Normal"/>
    <w:rsid w:val="00B40518"/>
    <w:pPr>
      <w:spacing w:before="100" w:beforeAutospacing="1" w:after="100" w:afterAutospacing="1"/>
    </w:pPr>
    <w:rPr>
      <w:rFonts w:cs="Times New Roman"/>
      <w:color w:val="auto"/>
    </w:rPr>
  </w:style>
  <w:style w:type="character" w:customStyle="1" w:styleId="item-languagearea1">
    <w:name w:val="item-languagearea1"/>
    <w:basedOn w:val="DefaultParagraphFont"/>
    <w:rsid w:val="00D44BFA"/>
    <w:rPr>
      <w:rFonts w:ascii="PT Serif" w:hAnsi="PT Serif" w:hint="default"/>
    </w:rPr>
  </w:style>
  <w:style w:type="paragraph" w:customStyle="1" w:styleId="section-text4">
    <w:name w:val="section-text4"/>
    <w:basedOn w:val="Normal"/>
    <w:rsid w:val="00D44BFA"/>
    <w:rPr>
      <w:rFonts w:cs="Times New Roman"/>
      <w:color w:val="auto"/>
    </w:rPr>
  </w:style>
  <w:style w:type="paragraph" w:customStyle="1" w:styleId="xl94">
    <w:name w:val="xl94"/>
    <w:basedOn w:val="Normal"/>
    <w:rsid w:val="00F7525F"/>
    <w:pPr>
      <w:spacing w:before="100" w:beforeAutospacing="1" w:after="100" w:afterAutospacing="1"/>
      <w:jc w:val="center"/>
      <w:textAlignment w:val="center"/>
    </w:pPr>
    <w:rPr>
      <w:rFonts w:cs="Times New Roman"/>
      <w:color w:val="FFC000"/>
    </w:rPr>
  </w:style>
  <w:style w:type="paragraph" w:customStyle="1" w:styleId="xl95">
    <w:name w:val="xl95"/>
    <w:basedOn w:val="Normal"/>
    <w:rsid w:val="00F7525F"/>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anda" w:hAnsi="Veranda" w:cs="Times New Roman"/>
      <w:color w:val="auto"/>
    </w:rPr>
  </w:style>
  <w:style w:type="paragraph" w:customStyle="1" w:styleId="xl96">
    <w:name w:val="xl96"/>
    <w:basedOn w:val="Normal"/>
    <w:rsid w:val="00F752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anda" w:hAnsi="Veranda" w:cs="Times New Roman"/>
      <w:color w:val="auto"/>
    </w:rPr>
  </w:style>
  <w:style w:type="paragraph" w:customStyle="1" w:styleId="xl97">
    <w:name w:val="xl97"/>
    <w:basedOn w:val="Normal"/>
    <w:rsid w:val="00F752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anda" w:hAnsi="Veranda" w:cs="Times New Roman"/>
      <w:color w:val="auto"/>
    </w:rPr>
  </w:style>
  <w:style w:type="paragraph" w:customStyle="1" w:styleId="xl98">
    <w:name w:val="xl98"/>
    <w:basedOn w:val="Normal"/>
    <w:rsid w:val="00F752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FFC000"/>
    </w:rPr>
  </w:style>
  <w:style w:type="paragraph" w:customStyle="1" w:styleId="xl99">
    <w:name w:val="xl99"/>
    <w:basedOn w:val="Normal"/>
    <w:rsid w:val="00F752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FFC000"/>
    </w:rPr>
  </w:style>
  <w:style w:type="paragraph" w:customStyle="1" w:styleId="xl100">
    <w:name w:val="xl100"/>
    <w:basedOn w:val="Normal"/>
    <w:rsid w:val="00F752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anda" w:hAnsi="Veranda" w:cs="Times New Roman"/>
      <w:color w:val="auto"/>
    </w:rPr>
  </w:style>
  <w:style w:type="paragraph" w:customStyle="1" w:styleId="xl101">
    <w:name w:val="xl101"/>
    <w:basedOn w:val="Normal"/>
    <w:rsid w:val="00F752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anda" w:hAnsi="Veranda" w:cs="Times New Roman"/>
      <w:color w:val="auto"/>
    </w:rPr>
  </w:style>
  <w:style w:type="table" w:styleId="LightList-Accent1">
    <w:name w:val="Light List Accent 1"/>
    <w:basedOn w:val="TableNormal"/>
    <w:uiPriority w:val="61"/>
    <w:rsid w:val="006F276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5">
    <w:name w:val="Medium Grid 1 Accent 5"/>
    <w:basedOn w:val="TableNormal"/>
    <w:uiPriority w:val="67"/>
    <w:rsid w:val="006F276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3Char">
    <w:name w:val="Heading 3 Char"/>
    <w:basedOn w:val="DefaultParagraphFont"/>
    <w:link w:val="Heading3"/>
    <w:uiPriority w:val="9"/>
    <w:rsid w:val="00E853A2"/>
    <w:rPr>
      <w:rFonts w:asciiTheme="majorHAnsi" w:eastAsiaTheme="majorEastAsia" w:hAnsiTheme="majorHAnsi" w:cstheme="majorBidi"/>
      <w:b/>
      <w:bCs/>
      <w:color w:val="4F81BD" w:themeColor="accent1"/>
      <w:sz w:val="24"/>
      <w:szCs w:val="24"/>
    </w:rPr>
  </w:style>
  <w:style w:type="table" w:styleId="MediumShading1-Accent1">
    <w:name w:val="Medium Shading 1 Accent 1"/>
    <w:basedOn w:val="TableNormal"/>
    <w:uiPriority w:val="63"/>
    <w:rsid w:val="00147F0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velopeAddress">
    <w:name w:val="envelope address"/>
    <w:basedOn w:val="Normal"/>
    <w:uiPriority w:val="99"/>
    <w:unhideWhenUsed/>
    <w:rsid w:val="00E841E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E841E4"/>
    <w:rPr>
      <w:rFonts w:asciiTheme="majorHAnsi" w:eastAsiaTheme="majorEastAsia" w:hAnsiTheme="majorHAnsi" w:cstheme="majorBidi"/>
      <w:sz w:val="20"/>
      <w:szCs w:val="20"/>
    </w:rPr>
  </w:style>
  <w:style w:type="character" w:customStyle="1" w:styleId="webcast-description">
    <w:name w:val="webcast-description"/>
    <w:basedOn w:val="DefaultParagraphFont"/>
    <w:rsid w:val="00296698"/>
  </w:style>
  <w:style w:type="paragraph" w:styleId="TOC3">
    <w:name w:val="toc 3"/>
    <w:basedOn w:val="Normal"/>
    <w:next w:val="Normal"/>
    <w:autoRedefine/>
    <w:uiPriority w:val="39"/>
    <w:unhideWhenUsed/>
    <w:rsid w:val="00293B4E"/>
    <w:pPr>
      <w:spacing w:after="100"/>
      <w:ind w:left="480"/>
    </w:pPr>
  </w:style>
  <w:style w:type="paragraph" w:customStyle="1" w:styleId="textregular">
    <w:name w:val="textregular"/>
    <w:basedOn w:val="Normal"/>
    <w:rsid w:val="002A42FA"/>
    <w:pPr>
      <w:spacing w:before="100" w:beforeAutospacing="1" w:after="100" w:afterAutospacing="1"/>
    </w:pPr>
    <w:rPr>
      <w:rFonts w:ascii="Arial" w:hAnsi="Arial"/>
      <w:color w:val="auto"/>
    </w:rPr>
  </w:style>
  <w:style w:type="paragraph" w:customStyle="1" w:styleId="xl82">
    <w:name w:val="xl82"/>
    <w:basedOn w:val="Normal"/>
    <w:rsid w:val="00A254FE"/>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cs="Times New Roman"/>
      <w:color w:val="auto"/>
      <w:sz w:val="20"/>
      <w:szCs w:val="20"/>
    </w:rPr>
  </w:style>
  <w:style w:type="paragraph" w:customStyle="1" w:styleId="xl102">
    <w:name w:val="xl102"/>
    <w:basedOn w:val="Normal"/>
    <w:rsid w:val="00A25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Times New Roman"/>
      <w:color w:val="auto"/>
    </w:rPr>
  </w:style>
  <w:style w:type="paragraph" w:customStyle="1" w:styleId="xl103">
    <w:name w:val="xl103"/>
    <w:basedOn w:val="Normal"/>
    <w:rsid w:val="00A254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auto"/>
    </w:rPr>
  </w:style>
  <w:style w:type="paragraph" w:customStyle="1" w:styleId="xl104">
    <w:name w:val="xl104"/>
    <w:basedOn w:val="Normal"/>
    <w:rsid w:val="00A254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auto"/>
    </w:rPr>
  </w:style>
  <w:style w:type="paragraph" w:customStyle="1" w:styleId="xl105">
    <w:name w:val="xl105"/>
    <w:basedOn w:val="Normal"/>
    <w:rsid w:val="00A254F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Times New Roman"/>
      <w:color w:val="auto"/>
    </w:rPr>
  </w:style>
  <w:style w:type="paragraph" w:customStyle="1" w:styleId="xl106">
    <w:name w:val="xl106"/>
    <w:basedOn w:val="Normal"/>
    <w:rsid w:val="00A2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s="Times New Roman"/>
      <w:color w:val="auto"/>
    </w:rPr>
  </w:style>
  <w:style w:type="paragraph" w:customStyle="1" w:styleId="xl107">
    <w:name w:val="xl107"/>
    <w:basedOn w:val="Normal"/>
    <w:rsid w:val="00A254FE"/>
    <w:pPr>
      <w:shd w:val="clear" w:color="000000" w:fill="FFFFFF"/>
      <w:spacing w:before="100" w:beforeAutospacing="1" w:after="100" w:afterAutospacing="1"/>
      <w:jc w:val="center"/>
    </w:pPr>
    <w:rPr>
      <w:rFonts w:ascii="Verdana" w:hAnsi="Verdana" w:cs="Times New Roman"/>
      <w:color w:val="auto"/>
    </w:rPr>
  </w:style>
  <w:style w:type="paragraph" w:customStyle="1" w:styleId="xl108">
    <w:name w:val="xl108"/>
    <w:basedOn w:val="Normal"/>
    <w:rsid w:val="00A254F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Times New Roman"/>
      <w:color w:val="auto"/>
    </w:rPr>
  </w:style>
  <w:style w:type="paragraph" w:customStyle="1" w:styleId="xl109">
    <w:name w:val="xl109"/>
    <w:basedOn w:val="Normal"/>
    <w:rsid w:val="00A254F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Times New Roman"/>
      <w:color w:val="FF0000"/>
    </w:rPr>
  </w:style>
  <w:style w:type="paragraph" w:customStyle="1" w:styleId="xl110">
    <w:name w:val="xl110"/>
    <w:basedOn w:val="Normal"/>
    <w:rsid w:val="00A254F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Times New Roman"/>
      <w:color w:val="auto"/>
    </w:rPr>
  </w:style>
  <w:style w:type="paragraph" w:customStyle="1" w:styleId="xl111">
    <w:name w:val="xl111"/>
    <w:basedOn w:val="Normal"/>
    <w:rsid w:val="00A254F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Verdana" w:hAnsi="Verdana" w:cs="Times New Roman"/>
      <w:color w:val="auto"/>
    </w:rPr>
  </w:style>
  <w:style w:type="paragraph" w:customStyle="1" w:styleId="xl112">
    <w:name w:val="xl112"/>
    <w:basedOn w:val="Normal"/>
    <w:rsid w:val="00A254F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Verdana" w:hAnsi="Verdana" w:cs="Times New Roman"/>
      <w:color w:val="auto"/>
    </w:rPr>
  </w:style>
  <w:style w:type="paragraph" w:customStyle="1" w:styleId="xl113">
    <w:name w:val="xl113"/>
    <w:basedOn w:val="Normal"/>
    <w:rsid w:val="00A2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Verdana" w:hAnsi="Verdana" w:cs="Times New Roman"/>
      <w:color w:val="auto"/>
    </w:rPr>
  </w:style>
  <w:style w:type="paragraph" w:customStyle="1" w:styleId="xl114">
    <w:name w:val="xl114"/>
    <w:basedOn w:val="Normal"/>
    <w:rsid w:val="00A2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s="Times New Roman"/>
      <w:color w:val="auto"/>
    </w:rPr>
  </w:style>
  <w:style w:type="table" w:customStyle="1" w:styleId="TableGrid1">
    <w:name w:val="Table Grid1"/>
    <w:basedOn w:val="TableNormal"/>
    <w:next w:val="TableGrid"/>
    <w:uiPriority w:val="59"/>
    <w:rsid w:val="00084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51">
    <w:name w:val="Medium Grid 1 - Accent 51"/>
    <w:basedOn w:val="TableNormal"/>
    <w:next w:val="MediumGrid1-Accent5"/>
    <w:uiPriority w:val="67"/>
    <w:rsid w:val="0007424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m241518600723365304gmail-msonormal">
    <w:name w:val="m_241518600723365304gmail-msonormal"/>
    <w:basedOn w:val="Normal"/>
    <w:rsid w:val="00866433"/>
    <w:pPr>
      <w:spacing w:before="100" w:beforeAutospacing="1" w:after="100" w:afterAutospacing="1"/>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CEB"/>
    <w:pPr>
      <w:spacing w:after="0" w:line="240" w:lineRule="auto"/>
    </w:pPr>
    <w:rPr>
      <w:rFonts w:ascii="Times New Roman" w:eastAsia="Times New Roman" w:hAnsi="Times New Roman" w:cs="Arial"/>
      <w:color w:val="000000"/>
      <w:sz w:val="24"/>
      <w:szCs w:val="24"/>
    </w:rPr>
  </w:style>
  <w:style w:type="paragraph" w:styleId="Heading1">
    <w:name w:val="heading 1"/>
    <w:basedOn w:val="Normal"/>
    <w:next w:val="Normal"/>
    <w:link w:val="Heading1Char"/>
    <w:qFormat/>
    <w:rsid w:val="003B4975"/>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A153B8"/>
    <w:pPr>
      <w:keepNext/>
      <w:spacing w:before="240" w:after="60"/>
      <w:outlineLvl w:val="1"/>
    </w:pPr>
    <w:rPr>
      <w:rFonts w:ascii="Verdana" w:hAnsi="Verdana"/>
      <w:b/>
      <w:bCs/>
      <w:iCs/>
      <w:sz w:val="20"/>
      <w:szCs w:val="20"/>
    </w:rPr>
  </w:style>
  <w:style w:type="paragraph" w:styleId="Heading3">
    <w:name w:val="heading 3"/>
    <w:basedOn w:val="Normal"/>
    <w:next w:val="Normal"/>
    <w:link w:val="Heading3Char"/>
    <w:uiPriority w:val="9"/>
    <w:unhideWhenUsed/>
    <w:qFormat/>
    <w:rsid w:val="00E853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4E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975"/>
    <w:rPr>
      <w:rFonts w:ascii="Arial" w:eastAsia="Times New Roman" w:hAnsi="Arial" w:cs="Arial"/>
      <w:b/>
      <w:bCs/>
      <w:color w:val="000000"/>
      <w:kern w:val="32"/>
      <w:sz w:val="32"/>
      <w:szCs w:val="32"/>
    </w:rPr>
  </w:style>
  <w:style w:type="character" w:customStyle="1" w:styleId="Heading2Char">
    <w:name w:val="Heading 2 Char"/>
    <w:basedOn w:val="DefaultParagraphFont"/>
    <w:link w:val="Heading2"/>
    <w:rsid w:val="00A153B8"/>
    <w:rPr>
      <w:rFonts w:ascii="Verdana" w:eastAsia="Times New Roman" w:hAnsi="Verdana" w:cs="Arial"/>
      <w:b/>
      <w:bCs/>
      <w:iCs/>
      <w:color w:val="000000"/>
      <w:sz w:val="20"/>
      <w:szCs w:val="20"/>
    </w:rPr>
  </w:style>
  <w:style w:type="character" w:customStyle="1" w:styleId="Heading4Char">
    <w:name w:val="Heading 4 Char"/>
    <w:basedOn w:val="DefaultParagraphFont"/>
    <w:link w:val="Heading4"/>
    <w:uiPriority w:val="9"/>
    <w:rsid w:val="00534E3D"/>
    <w:rPr>
      <w:rFonts w:asciiTheme="majorHAnsi" w:eastAsiaTheme="majorEastAsia" w:hAnsiTheme="majorHAnsi" w:cstheme="majorBidi"/>
      <w:b/>
      <w:bCs/>
      <w:i/>
      <w:iCs/>
      <w:color w:val="4F81BD" w:themeColor="accent1"/>
      <w:sz w:val="24"/>
      <w:szCs w:val="24"/>
    </w:rPr>
  </w:style>
  <w:style w:type="paragraph" w:styleId="Footer">
    <w:name w:val="footer"/>
    <w:basedOn w:val="Normal"/>
    <w:link w:val="FooterChar"/>
    <w:uiPriority w:val="99"/>
    <w:rsid w:val="003B4975"/>
    <w:pPr>
      <w:tabs>
        <w:tab w:val="center" w:pos="4320"/>
        <w:tab w:val="right" w:pos="8640"/>
      </w:tabs>
    </w:pPr>
  </w:style>
  <w:style w:type="character" w:customStyle="1" w:styleId="FooterChar">
    <w:name w:val="Footer Char"/>
    <w:basedOn w:val="DefaultParagraphFont"/>
    <w:link w:val="Footer"/>
    <w:uiPriority w:val="99"/>
    <w:rsid w:val="003B4975"/>
    <w:rPr>
      <w:rFonts w:ascii="Times New Roman" w:eastAsia="Times New Roman" w:hAnsi="Times New Roman" w:cs="Arial"/>
      <w:color w:val="000000"/>
      <w:sz w:val="24"/>
      <w:szCs w:val="24"/>
    </w:rPr>
  </w:style>
  <w:style w:type="character" w:styleId="PageNumber">
    <w:name w:val="page number"/>
    <w:basedOn w:val="DefaultParagraphFont"/>
    <w:rsid w:val="003B4975"/>
  </w:style>
  <w:style w:type="character" w:styleId="CommentReference">
    <w:name w:val="annotation reference"/>
    <w:basedOn w:val="DefaultParagraphFont"/>
    <w:uiPriority w:val="99"/>
    <w:semiHidden/>
    <w:rsid w:val="003B4975"/>
    <w:rPr>
      <w:sz w:val="16"/>
      <w:szCs w:val="16"/>
    </w:rPr>
  </w:style>
  <w:style w:type="paragraph" w:styleId="CommentText">
    <w:name w:val="annotation text"/>
    <w:basedOn w:val="Normal"/>
    <w:link w:val="CommentTextChar"/>
    <w:semiHidden/>
    <w:rsid w:val="003B4975"/>
    <w:rPr>
      <w:sz w:val="20"/>
      <w:szCs w:val="20"/>
    </w:rPr>
  </w:style>
  <w:style w:type="character" w:customStyle="1" w:styleId="CommentTextChar">
    <w:name w:val="Comment Text Char"/>
    <w:basedOn w:val="DefaultParagraphFont"/>
    <w:link w:val="CommentText"/>
    <w:semiHidden/>
    <w:rsid w:val="003B4975"/>
    <w:rPr>
      <w:rFonts w:ascii="Times New Roman" w:eastAsia="Times New Roman" w:hAnsi="Times New Roman" w:cs="Arial"/>
      <w:color w:val="000000"/>
      <w:sz w:val="20"/>
      <w:szCs w:val="20"/>
    </w:rPr>
  </w:style>
  <w:style w:type="paragraph" w:customStyle="1" w:styleId="msolistparagraph0">
    <w:name w:val="msolistparagraph"/>
    <w:basedOn w:val="Normal"/>
    <w:rsid w:val="003B4975"/>
    <w:pPr>
      <w:spacing w:before="100" w:beforeAutospacing="1" w:after="100" w:afterAutospacing="1"/>
    </w:pPr>
    <w:rPr>
      <w:rFonts w:cs="Times New Roman"/>
      <w:color w:val="auto"/>
    </w:rPr>
  </w:style>
  <w:style w:type="paragraph" w:customStyle="1" w:styleId="Default">
    <w:name w:val="Default"/>
    <w:rsid w:val="003B49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B4975"/>
    <w:rPr>
      <w:rFonts w:ascii="Tahoma" w:hAnsi="Tahoma" w:cs="Tahoma"/>
      <w:sz w:val="16"/>
      <w:szCs w:val="16"/>
    </w:rPr>
  </w:style>
  <w:style w:type="character" w:customStyle="1" w:styleId="BalloonTextChar">
    <w:name w:val="Balloon Text Char"/>
    <w:basedOn w:val="DefaultParagraphFont"/>
    <w:link w:val="BalloonText"/>
    <w:uiPriority w:val="99"/>
    <w:semiHidden/>
    <w:rsid w:val="003B4975"/>
    <w:rPr>
      <w:rFonts w:ascii="Tahoma" w:eastAsia="Times New Roman" w:hAnsi="Tahoma" w:cs="Tahoma"/>
      <w:color w:val="000000"/>
      <w:sz w:val="16"/>
      <w:szCs w:val="16"/>
    </w:rPr>
  </w:style>
  <w:style w:type="paragraph" w:styleId="Revision">
    <w:name w:val="Revision"/>
    <w:hidden/>
    <w:uiPriority w:val="99"/>
    <w:semiHidden/>
    <w:rsid w:val="003B4975"/>
    <w:pPr>
      <w:spacing w:after="0" w:line="240" w:lineRule="auto"/>
    </w:pPr>
    <w:rPr>
      <w:rFonts w:ascii="Times New Roman" w:eastAsia="Times New Roman" w:hAnsi="Times New Roman" w:cs="Arial"/>
      <w:color w:val="000000"/>
      <w:sz w:val="24"/>
      <w:szCs w:val="24"/>
    </w:rPr>
  </w:style>
  <w:style w:type="paragraph" w:styleId="ListParagraph">
    <w:name w:val="List Paragraph"/>
    <w:basedOn w:val="Normal"/>
    <w:uiPriority w:val="34"/>
    <w:qFormat/>
    <w:rsid w:val="009F25A9"/>
    <w:pPr>
      <w:ind w:left="720"/>
      <w:contextualSpacing/>
    </w:pPr>
  </w:style>
  <w:style w:type="character" w:styleId="Hyperlink">
    <w:name w:val="Hyperlink"/>
    <w:basedOn w:val="DefaultParagraphFont"/>
    <w:uiPriority w:val="99"/>
    <w:rsid w:val="00534E3D"/>
    <w:rPr>
      <w:color w:val="0000FF"/>
      <w:u w:val="single"/>
    </w:rPr>
  </w:style>
  <w:style w:type="paragraph" w:styleId="Header">
    <w:name w:val="header"/>
    <w:basedOn w:val="Normal"/>
    <w:link w:val="HeaderChar"/>
    <w:uiPriority w:val="99"/>
    <w:rsid w:val="00534E3D"/>
    <w:pPr>
      <w:tabs>
        <w:tab w:val="center" w:pos="4320"/>
        <w:tab w:val="right" w:pos="8640"/>
      </w:tabs>
    </w:pPr>
  </w:style>
  <w:style w:type="character" w:customStyle="1" w:styleId="HeaderChar">
    <w:name w:val="Header Char"/>
    <w:basedOn w:val="DefaultParagraphFont"/>
    <w:link w:val="Header"/>
    <w:uiPriority w:val="99"/>
    <w:rsid w:val="00534E3D"/>
    <w:rPr>
      <w:rFonts w:ascii="Times New Roman" w:eastAsia="Times New Roman" w:hAnsi="Times New Roman" w:cs="Arial"/>
      <w:color w:val="000000"/>
      <w:sz w:val="24"/>
      <w:szCs w:val="24"/>
    </w:rPr>
  </w:style>
  <w:style w:type="paragraph" w:styleId="TOC1">
    <w:name w:val="toc 1"/>
    <w:basedOn w:val="Normal"/>
    <w:next w:val="Normal"/>
    <w:autoRedefine/>
    <w:uiPriority w:val="39"/>
    <w:rsid w:val="00534E3D"/>
    <w:pPr>
      <w:tabs>
        <w:tab w:val="right" w:leader="dot" w:pos="9350"/>
      </w:tabs>
      <w:spacing w:line="480" w:lineRule="auto"/>
    </w:pPr>
    <w:rPr>
      <w:rFonts w:ascii="Verdana" w:hAnsi="Verdana"/>
      <w:b/>
    </w:rPr>
  </w:style>
  <w:style w:type="paragraph" w:styleId="TOC2">
    <w:name w:val="toc 2"/>
    <w:basedOn w:val="Normal"/>
    <w:next w:val="Normal"/>
    <w:autoRedefine/>
    <w:uiPriority w:val="39"/>
    <w:rsid w:val="0068596D"/>
    <w:pPr>
      <w:tabs>
        <w:tab w:val="right" w:leader="dot" w:pos="9350"/>
      </w:tabs>
      <w:spacing w:after="200"/>
      <w:ind w:left="245"/>
    </w:pPr>
    <w:rPr>
      <w:rFonts w:ascii="Verdana" w:hAnsi="Verdana"/>
      <w:noProof/>
    </w:rPr>
  </w:style>
  <w:style w:type="paragraph" w:styleId="Caption">
    <w:name w:val="caption"/>
    <w:basedOn w:val="Normal"/>
    <w:next w:val="Normal"/>
    <w:uiPriority w:val="35"/>
    <w:unhideWhenUsed/>
    <w:qFormat/>
    <w:rsid w:val="00795367"/>
    <w:pPr>
      <w:spacing w:after="200"/>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rsid w:val="00680041"/>
    <w:rPr>
      <w:b/>
      <w:bCs/>
    </w:rPr>
  </w:style>
  <w:style w:type="character" w:customStyle="1" w:styleId="CommentSubjectChar">
    <w:name w:val="Comment Subject Char"/>
    <w:basedOn w:val="CommentTextChar"/>
    <w:link w:val="CommentSubject"/>
    <w:uiPriority w:val="99"/>
    <w:semiHidden/>
    <w:rsid w:val="00680041"/>
    <w:rPr>
      <w:rFonts w:ascii="Times New Roman" w:eastAsia="Times New Roman" w:hAnsi="Times New Roman" w:cs="Arial"/>
      <w:b/>
      <w:bCs/>
      <w:color w:val="000000"/>
      <w:sz w:val="20"/>
      <w:szCs w:val="20"/>
    </w:rPr>
  </w:style>
  <w:style w:type="character" w:styleId="FollowedHyperlink">
    <w:name w:val="FollowedHyperlink"/>
    <w:basedOn w:val="DefaultParagraphFont"/>
    <w:uiPriority w:val="99"/>
    <w:semiHidden/>
    <w:unhideWhenUsed/>
    <w:rsid w:val="0047180D"/>
    <w:rPr>
      <w:color w:val="800080"/>
      <w:u w:val="single"/>
    </w:rPr>
  </w:style>
  <w:style w:type="paragraph" w:customStyle="1" w:styleId="xl65">
    <w:name w:val="xl65"/>
    <w:basedOn w:val="Normal"/>
    <w:rsid w:val="0047180D"/>
    <w:pPr>
      <w:spacing w:before="100" w:beforeAutospacing="1" w:after="100" w:afterAutospacing="1"/>
      <w:jc w:val="center"/>
    </w:pPr>
    <w:rPr>
      <w:rFonts w:cs="Times New Roman"/>
      <w:color w:val="auto"/>
    </w:rPr>
  </w:style>
  <w:style w:type="paragraph" w:customStyle="1" w:styleId="xl66">
    <w:name w:val="xl66"/>
    <w:basedOn w:val="Normal"/>
    <w:rsid w:val="0047180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Calibri" w:hAnsi="Calibri" w:cs="Times New Roman"/>
      <w:color w:val="auto"/>
      <w:sz w:val="22"/>
      <w:szCs w:val="22"/>
    </w:rPr>
  </w:style>
  <w:style w:type="paragraph" w:customStyle="1" w:styleId="xl67">
    <w:name w:val="xl67"/>
    <w:basedOn w:val="Normal"/>
    <w:rsid w:val="00471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auto"/>
      <w:sz w:val="22"/>
      <w:szCs w:val="22"/>
    </w:rPr>
  </w:style>
  <w:style w:type="paragraph" w:customStyle="1" w:styleId="xl68">
    <w:name w:val="xl68"/>
    <w:basedOn w:val="Normal"/>
    <w:rsid w:val="00471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auto"/>
      <w:sz w:val="22"/>
      <w:szCs w:val="22"/>
    </w:rPr>
  </w:style>
  <w:style w:type="paragraph" w:customStyle="1" w:styleId="xl69">
    <w:name w:val="xl69"/>
    <w:basedOn w:val="Normal"/>
    <w:rsid w:val="00471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color w:val="auto"/>
      <w:sz w:val="22"/>
      <w:szCs w:val="22"/>
    </w:rPr>
  </w:style>
  <w:style w:type="paragraph" w:customStyle="1" w:styleId="xl70">
    <w:name w:val="xl70"/>
    <w:basedOn w:val="Normal"/>
    <w:rsid w:val="00471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sz w:val="22"/>
      <w:szCs w:val="22"/>
    </w:rPr>
  </w:style>
  <w:style w:type="paragraph" w:customStyle="1" w:styleId="xl71">
    <w:name w:val="xl71"/>
    <w:basedOn w:val="Normal"/>
    <w:rsid w:val="004718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color w:val="FF0000"/>
      <w:sz w:val="22"/>
      <w:szCs w:val="22"/>
    </w:rPr>
  </w:style>
  <w:style w:type="paragraph" w:customStyle="1" w:styleId="xl72">
    <w:name w:val="xl72"/>
    <w:basedOn w:val="Normal"/>
    <w:rsid w:val="004718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Calibri" w:hAnsi="Calibri" w:cs="Times New Roman"/>
      <w:color w:val="auto"/>
      <w:sz w:val="22"/>
      <w:szCs w:val="22"/>
    </w:rPr>
  </w:style>
  <w:style w:type="paragraph" w:customStyle="1" w:styleId="xl73">
    <w:name w:val="xl73"/>
    <w:basedOn w:val="Normal"/>
    <w:rsid w:val="00471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auto"/>
      <w:sz w:val="22"/>
      <w:szCs w:val="22"/>
    </w:rPr>
  </w:style>
  <w:style w:type="paragraph" w:customStyle="1" w:styleId="xl74">
    <w:name w:val="xl74"/>
    <w:basedOn w:val="Normal"/>
    <w:rsid w:val="004718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Times New Roman"/>
      <w:color w:val="auto"/>
      <w:sz w:val="22"/>
      <w:szCs w:val="22"/>
    </w:rPr>
  </w:style>
  <w:style w:type="paragraph" w:customStyle="1" w:styleId="xl75">
    <w:name w:val="xl75"/>
    <w:basedOn w:val="Normal"/>
    <w:rsid w:val="004718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Calibri" w:hAnsi="Calibri" w:cs="Times New Roman"/>
      <w:color w:val="auto"/>
      <w:sz w:val="22"/>
      <w:szCs w:val="22"/>
    </w:rPr>
  </w:style>
  <w:style w:type="paragraph" w:customStyle="1" w:styleId="xl76">
    <w:name w:val="xl76"/>
    <w:basedOn w:val="Normal"/>
    <w:rsid w:val="0047180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Calibri" w:hAnsi="Calibri" w:cs="Times New Roman"/>
      <w:color w:val="auto"/>
      <w:sz w:val="22"/>
      <w:szCs w:val="22"/>
    </w:rPr>
  </w:style>
  <w:style w:type="paragraph" w:customStyle="1" w:styleId="xl77">
    <w:name w:val="xl77"/>
    <w:basedOn w:val="Normal"/>
    <w:rsid w:val="004718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Calibri" w:hAnsi="Calibri" w:cs="Times New Roman"/>
      <w:color w:val="auto"/>
      <w:sz w:val="22"/>
      <w:szCs w:val="22"/>
    </w:rPr>
  </w:style>
  <w:style w:type="paragraph" w:customStyle="1" w:styleId="xl78">
    <w:name w:val="xl78"/>
    <w:basedOn w:val="Normal"/>
    <w:rsid w:val="004718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libri" w:hAnsi="Calibri" w:cs="Times New Roman"/>
      <w:color w:val="auto"/>
      <w:sz w:val="22"/>
      <w:szCs w:val="22"/>
    </w:rPr>
  </w:style>
  <w:style w:type="paragraph" w:customStyle="1" w:styleId="xl79">
    <w:name w:val="xl79"/>
    <w:basedOn w:val="Normal"/>
    <w:rsid w:val="004718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Calibri" w:hAnsi="Calibri" w:cs="Times New Roman"/>
      <w:color w:val="auto"/>
      <w:sz w:val="22"/>
      <w:szCs w:val="22"/>
    </w:rPr>
  </w:style>
  <w:style w:type="paragraph" w:customStyle="1" w:styleId="xl80">
    <w:name w:val="xl80"/>
    <w:basedOn w:val="Normal"/>
    <w:rsid w:val="0047180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Times New Roman"/>
      <w:color w:val="auto"/>
    </w:rPr>
  </w:style>
  <w:style w:type="numbering" w:customStyle="1" w:styleId="NoList1">
    <w:name w:val="No List1"/>
    <w:next w:val="NoList"/>
    <w:uiPriority w:val="99"/>
    <w:semiHidden/>
    <w:unhideWhenUsed/>
    <w:rsid w:val="00AC46DE"/>
  </w:style>
  <w:style w:type="paragraph" w:styleId="EndnoteText">
    <w:name w:val="endnote text"/>
    <w:basedOn w:val="Normal"/>
    <w:link w:val="EndnoteTextChar"/>
    <w:uiPriority w:val="99"/>
    <w:semiHidden/>
    <w:unhideWhenUsed/>
    <w:rsid w:val="00AC46DE"/>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uiPriority w:val="99"/>
    <w:semiHidden/>
    <w:rsid w:val="00AC46DE"/>
    <w:rPr>
      <w:sz w:val="20"/>
      <w:szCs w:val="20"/>
    </w:rPr>
  </w:style>
  <w:style w:type="character" w:styleId="EndnoteReference">
    <w:name w:val="endnote reference"/>
    <w:basedOn w:val="DefaultParagraphFont"/>
    <w:uiPriority w:val="99"/>
    <w:semiHidden/>
    <w:unhideWhenUsed/>
    <w:rsid w:val="00AC46DE"/>
    <w:rPr>
      <w:vertAlign w:val="superscript"/>
    </w:rPr>
  </w:style>
  <w:style w:type="paragraph" w:styleId="BodyTextIndent3">
    <w:name w:val="Body Text Indent 3"/>
    <w:basedOn w:val="Normal"/>
    <w:link w:val="BodyTextIndent3Char"/>
    <w:rsid w:val="00AC46DE"/>
    <w:pPr>
      <w:spacing w:after="120"/>
      <w:ind w:left="360"/>
    </w:pPr>
    <w:rPr>
      <w:rFonts w:cs="Times New Roman"/>
      <w:color w:val="auto"/>
      <w:sz w:val="16"/>
      <w:szCs w:val="16"/>
    </w:rPr>
  </w:style>
  <w:style w:type="character" w:customStyle="1" w:styleId="BodyTextIndent3Char">
    <w:name w:val="Body Text Indent 3 Char"/>
    <w:basedOn w:val="DefaultParagraphFont"/>
    <w:link w:val="BodyTextIndent3"/>
    <w:rsid w:val="00AC46DE"/>
    <w:rPr>
      <w:rFonts w:ascii="Times New Roman" w:eastAsia="Times New Roman" w:hAnsi="Times New Roman" w:cs="Times New Roman"/>
      <w:sz w:val="16"/>
      <w:szCs w:val="16"/>
    </w:rPr>
  </w:style>
  <w:style w:type="paragraph" w:styleId="FootnoteText">
    <w:name w:val="footnote text"/>
    <w:basedOn w:val="Normal"/>
    <w:link w:val="FootnoteTextChar"/>
    <w:uiPriority w:val="99"/>
    <w:semiHidden/>
    <w:unhideWhenUsed/>
    <w:rsid w:val="00AC46DE"/>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AC46DE"/>
    <w:rPr>
      <w:sz w:val="20"/>
      <w:szCs w:val="20"/>
    </w:rPr>
  </w:style>
  <w:style w:type="character" w:styleId="FootnoteReference">
    <w:name w:val="footnote reference"/>
    <w:basedOn w:val="DefaultParagraphFont"/>
    <w:uiPriority w:val="99"/>
    <w:semiHidden/>
    <w:unhideWhenUsed/>
    <w:rsid w:val="00AC46DE"/>
    <w:rPr>
      <w:vertAlign w:val="superscript"/>
    </w:rPr>
  </w:style>
  <w:style w:type="paragraph" w:styleId="NoSpacing">
    <w:name w:val="No Spacing"/>
    <w:uiPriority w:val="1"/>
    <w:qFormat/>
    <w:rsid w:val="00AC46DE"/>
    <w:pPr>
      <w:spacing w:after="0" w:line="240" w:lineRule="auto"/>
    </w:pPr>
  </w:style>
  <w:style w:type="paragraph" w:styleId="BodyText2">
    <w:name w:val="Body Text 2"/>
    <w:basedOn w:val="Normal"/>
    <w:link w:val="BodyText2Char1"/>
    <w:rsid w:val="00C43CC0"/>
    <w:pPr>
      <w:spacing w:after="120" w:line="480" w:lineRule="auto"/>
    </w:pPr>
    <w:rPr>
      <w:rFonts w:cs="Times New Roman"/>
      <w:color w:val="auto"/>
      <w:szCs w:val="20"/>
    </w:rPr>
  </w:style>
  <w:style w:type="character" w:customStyle="1" w:styleId="BodyText2Char">
    <w:name w:val="Body Text 2 Char"/>
    <w:basedOn w:val="DefaultParagraphFont"/>
    <w:uiPriority w:val="99"/>
    <w:semiHidden/>
    <w:rsid w:val="00C43CC0"/>
    <w:rPr>
      <w:rFonts w:ascii="Times New Roman" w:eastAsia="Times New Roman" w:hAnsi="Times New Roman" w:cs="Arial"/>
      <w:color w:val="000000"/>
      <w:sz w:val="24"/>
      <w:szCs w:val="24"/>
    </w:rPr>
  </w:style>
  <w:style w:type="character" w:customStyle="1" w:styleId="BodyText2Char1">
    <w:name w:val="Body Text 2 Char1"/>
    <w:basedOn w:val="DefaultParagraphFont"/>
    <w:link w:val="BodyText2"/>
    <w:rsid w:val="00C43CC0"/>
    <w:rPr>
      <w:rFonts w:ascii="Times New Roman" w:eastAsia="Times New Roman" w:hAnsi="Times New Roman" w:cs="Times New Roman"/>
      <w:sz w:val="24"/>
      <w:szCs w:val="20"/>
    </w:rPr>
  </w:style>
  <w:style w:type="paragraph" w:styleId="NormalWeb">
    <w:name w:val="Normal (Web)"/>
    <w:basedOn w:val="Normal"/>
    <w:uiPriority w:val="99"/>
    <w:unhideWhenUsed/>
    <w:rsid w:val="007A1CFC"/>
    <w:pPr>
      <w:spacing w:before="100" w:beforeAutospacing="1" w:after="100" w:afterAutospacing="1"/>
    </w:pPr>
    <w:rPr>
      <w:rFonts w:cs="Times New Roman"/>
      <w:color w:val="auto"/>
    </w:rPr>
  </w:style>
  <w:style w:type="table" w:styleId="TableGrid">
    <w:name w:val="Table Grid"/>
    <w:basedOn w:val="TableNormal"/>
    <w:uiPriority w:val="59"/>
    <w:rsid w:val="0085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D47C7"/>
  </w:style>
  <w:style w:type="character" w:styleId="LineNumber">
    <w:name w:val="line number"/>
    <w:basedOn w:val="DefaultParagraphFont"/>
    <w:uiPriority w:val="99"/>
    <w:semiHidden/>
    <w:unhideWhenUsed/>
    <w:rsid w:val="00AE1651"/>
  </w:style>
  <w:style w:type="paragraph" w:customStyle="1" w:styleId="xl81">
    <w:name w:val="xl81"/>
    <w:basedOn w:val="Normal"/>
    <w:rsid w:val="00B4051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rFonts w:ascii="Verdana" w:hAnsi="Verdana" w:cs="Times New Roman"/>
    </w:rPr>
  </w:style>
  <w:style w:type="paragraph" w:customStyle="1" w:styleId="xl83">
    <w:name w:val="xl83"/>
    <w:basedOn w:val="Normal"/>
    <w:rsid w:val="00B40518"/>
    <w:pPr>
      <w:pBdr>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Verdana" w:hAnsi="Verdana" w:cs="Times New Roman"/>
    </w:rPr>
  </w:style>
  <w:style w:type="paragraph" w:customStyle="1" w:styleId="xl84">
    <w:name w:val="xl84"/>
    <w:basedOn w:val="Normal"/>
    <w:rsid w:val="00B4051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Verdana" w:hAnsi="Verdana" w:cs="Times New Roman"/>
    </w:rPr>
  </w:style>
  <w:style w:type="paragraph" w:customStyle="1" w:styleId="xl85">
    <w:name w:val="xl85"/>
    <w:basedOn w:val="Normal"/>
    <w:rsid w:val="00B40518"/>
    <w:pPr>
      <w:spacing w:before="100" w:beforeAutospacing="1" w:after="100" w:afterAutospacing="1"/>
      <w:jc w:val="center"/>
    </w:pPr>
    <w:rPr>
      <w:rFonts w:cs="Times New Roman"/>
      <w:color w:val="auto"/>
    </w:rPr>
  </w:style>
  <w:style w:type="paragraph" w:customStyle="1" w:styleId="xl86">
    <w:name w:val="xl86"/>
    <w:basedOn w:val="Normal"/>
    <w:rsid w:val="00B40518"/>
    <w:pPr>
      <w:pBdr>
        <w:bottom w:val="single" w:sz="4" w:space="0" w:color="000000"/>
        <w:right w:val="single" w:sz="4" w:space="0" w:color="000000"/>
      </w:pBdr>
      <w:shd w:val="clear" w:color="000000" w:fill="D9D9D9"/>
      <w:spacing w:before="100" w:beforeAutospacing="1" w:after="100" w:afterAutospacing="1"/>
      <w:jc w:val="center"/>
    </w:pPr>
    <w:rPr>
      <w:rFonts w:ascii="Verdana" w:hAnsi="Verdana" w:cs="Times New Roman"/>
    </w:rPr>
  </w:style>
  <w:style w:type="paragraph" w:customStyle="1" w:styleId="xl87">
    <w:name w:val="xl87"/>
    <w:basedOn w:val="Normal"/>
    <w:rsid w:val="00B40518"/>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Verdana" w:hAnsi="Verdana" w:cs="Times New Roman"/>
    </w:rPr>
  </w:style>
  <w:style w:type="paragraph" w:customStyle="1" w:styleId="xl88">
    <w:name w:val="xl88"/>
    <w:basedOn w:val="Normal"/>
    <w:rsid w:val="00B40518"/>
    <w:pPr>
      <w:spacing w:before="100" w:beforeAutospacing="1" w:after="100" w:afterAutospacing="1"/>
    </w:pPr>
    <w:rPr>
      <w:rFonts w:cs="Times New Roman"/>
    </w:rPr>
  </w:style>
  <w:style w:type="paragraph" w:customStyle="1" w:styleId="xl89">
    <w:name w:val="xl89"/>
    <w:basedOn w:val="Normal"/>
    <w:rsid w:val="00B40518"/>
    <w:pPr>
      <w:spacing w:before="100" w:beforeAutospacing="1" w:after="100" w:afterAutospacing="1"/>
    </w:pPr>
    <w:rPr>
      <w:rFonts w:cs="Times New Roman"/>
      <w:color w:val="auto"/>
    </w:rPr>
  </w:style>
  <w:style w:type="paragraph" w:customStyle="1" w:styleId="xl90">
    <w:name w:val="xl90"/>
    <w:basedOn w:val="Normal"/>
    <w:rsid w:val="00B40518"/>
    <w:pPr>
      <w:spacing w:before="100" w:beforeAutospacing="1" w:after="100" w:afterAutospacing="1"/>
    </w:pPr>
    <w:rPr>
      <w:rFonts w:cs="Times New Roman"/>
    </w:rPr>
  </w:style>
  <w:style w:type="paragraph" w:customStyle="1" w:styleId="xl91">
    <w:name w:val="xl91"/>
    <w:basedOn w:val="Normal"/>
    <w:rsid w:val="00B40518"/>
    <w:pPr>
      <w:spacing w:before="100" w:beforeAutospacing="1" w:after="100" w:afterAutospacing="1"/>
    </w:pPr>
    <w:rPr>
      <w:rFonts w:cs="Times New Roman"/>
      <w:color w:val="auto"/>
    </w:rPr>
  </w:style>
  <w:style w:type="paragraph" w:customStyle="1" w:styleId="xl92">
    <w:name w:val="xl92"/>
    <w:basedOn w:val="Normal"/>
    <w:rsid w:val="00B40518"/>
    <w:pPr>
      <w:spacing w:before="100" w:beforeAutospacing="1" w:after="100" w:afterAutospacing="1"/>
    </w:pPr>
    <w:rPr>
      <w:rFonts w:cs="Times New Roman"/>
      <w:color w:val="auto"/>
    </w:rPr>
  </w:style>
  <w:style w:type="paragraph" w:customStyle="1" w:styleId="xl93">
    <w:name w:val="xl93"/>
    <w:basedOn w:val="Normal"/>
    <w:rsid w:val="00B40518"/>
    <w:pPr>
      <w:spacing w:before="100" w:beforeAutospacing="1" w:after="100" w:afterAutospacing="1"/>
    </w:pPr>
    <w:rPr>
      <w:rFonts w:cs="Times New Roman"/>
      <w:color w:val="auto"/>
    </w:rPr>
  </w:style>
  <w:style w:type="character" w:customStyle="1" w:styleId="item-languagearea1">
    <w:name w:val="item-languagearea1"/>
    <w:basedOn w:val="DefaultParagraphFont"/>
    <w:rsid w:val="00D44BFA"/>
    <w:rPr>
      <w:rFonts w:ascii="PT Serif" w:hAnsi="PT Serif" w:hint="default"/>
    </w:rPr>
  </w:style>
  <w:style w:type="paragraph" w:customStyle="1" w:styleId="section-text4">
    <w:name w:val="section-text4"/>
    <w:basedOn w:val="Normal"/>
    <w:rsid w:val="00D44BFA"/>
    <w:rPr>
      <w:rFonts w:cs="Times New Roman"/>
      <w:color w:val="auto"/>
    </w:rPr>
  </w:style>
  <w:style w:type="paragraph" w:customStyle="1" w:styleId="xl94">
    <w:name w:val="xl94"/>
    <w:basedOn w:val="Normal"/>
    <w:rsid w:val="00F7525F"/>
    <w:pPr>
      <w:spacing w:before="100" w:beforeAutospacing="1" w:after="100" w:afterAutospacing="1"/>
      <w:jc w:val="center"/>
      <w:textAlignment w:val="center"/>
    </w:pPr>
    <w:rPr>
      <w:rFonts w:cs="Times New Roman"/>
      <w:color w:val="FFC000"/>
    </w:rPr>
  </w:style>
  <w:style w:type="paragraph" w:customStyle="1" w:styleId="xl95">
    <w:name w:val="xl95"/>
    <w:basedOn w:val="Normal"/>
    <w:rsid w:val="00F7525F"/>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anda" w:hAnsi="Veranda" w:cs="Times New Roman"/>
      <w:color w:val="auto"/>
    </w:rPr>
  </w:style>
  <w:style w:type="paragraph" w:customStyle="1" w:styleId="xl96">
    <w:name w:val="xl96"/>
    <w:basedOn w:val="Normal"/>
    <w:rsid w:val="00F752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anda" w:hAnsi="Veranda" w:cs="Times New Roman"/>
      <w:color w:val="auto"/>
    </w:rPr>
  </w:style>
  <w:style w:type="paragraph" w:customStyle="1" w:styleId="xl97">
    <w:name w:val="xl97"/>
    <w:basedOn w:val="Normal"/>
    <w:rsid w:val="00F752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anda" w:hAnsi="Veranda" w:cs="Times New Roman"/>
      <w:color w:val="auto"/>
    </w:rPr>
  </w:style>
  <w:style w:type="paragraph" w:customStyle="1" w:styleId="xl98">
    <w:name w:val="xl98"/>
    <w:basedOn w:val="Normal"/>
    <w:rsid w:val="00F752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FFC000"/>
    </w:rPr>
  </w:style>
  <w:style w:type="paragraph" w:customStyle="1" w:styleId="xl99">
    <w:name w:val="xl99"/>
    <w:basedOn w:val="Normal"/>
    <w:rsid w:val="00F752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FFC000"/>
    </w:rPr>
  </w:style>
  <w:style w:type="paragraph" w:customStyle="1" w:styleId="xl100">
    <w:name w:val="xl100"/>
    <w:basedOn w:val="Normal"/>
    <w:rsid w:val="00F752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anda" w:hAnsi="Veranda" w:cs="Times New Roman"/>
      <w:color w:val="auto"/>
    </w:rPr>
  </w:style>
  <w:style w:type="paragraph" w:customStyle="1" w:styleId="xl101">
    <w:name w:val="xl101"/>
    <w:basedOn w:val="Normal"/>
    <w:rsid w:val="00F752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anda" w:hAnsi="Veranda" w:cs="Times New Roman"/>
      <w:color w:val="auto"/>
    </w:rPr>
  </w:style>
  <w:style w:type="table" w:styleId="LightList-Accent1">
    <w:name w:val="Light List Accent 1"/>
    <w:basedOn w:val="TableNormal"/>
    <w:uiPriority w:val="61"/>
    <w:rsid w:val="006F276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5">
    <w:name w:val="Medium Grid 1 Accent 5"/>
    <w:basedOn w:val="TableNormal"/>
    <w:uiPriority w:val="67"/>
    <w:rsid w:val="006F276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3Char">
    <w:name w:val="Heading 3 Char"/>
    <w:basedOn w:val="DefaultParagraphFont"/>
    <w:link w:val="Heading3"/>
    <w:uiPriority w:val="9"/>
    <w:rsid w:val="00E853A2"/>
    <w:rPr>
      <w:rFonts w:asciiTheme="majorHAnsi" w:eastAsiaTheme="majorEastAsia" w:hAnsiTheme="majorHAnsi" w:cstheme="majorBidi"/>
      <w:b/>
      <w:bCs/>
      <w:color w:val="4F81BD" w:themeColor="accent1"/>
      <w:sz w:val="24"/>
      <w:szCs w:val="24"/>
    </w:rPr>
  </w:style>
  <w:style w:type="table" w:styleId="MediumShading1-Accent1">
    <w:name w:val="Medium Shading 1 Accent 1"/>
    <w:basedOn w:val="TableNormal"/>
    <w:uiPriority w:val="63"/>
    <w:rsid w:val="00147F0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EnvelopeAddress">
    <w:name w:val="envelope address"/>
    <w:basedOn w:val="Normal"/>
    <w:uiPriority w:val="99"/>
    <w:unhideWhenUsed/>
    <w:rsid w:val="00E841E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E841E4"/>
    <w:rPr>
      <w:rFonts w:asciiTheme="majorHAnsi" w:eastAsiaTheme="majorEastAsia" w:hAnsiTheme="majorHAnsi" w:cstheme="majorBidi"/>
      <w:sz w:val="20"/>
      <w:szCs w:val="20"/>
    </w:rPr>
  </w:style>
  <w:style w:type="character" w:customStyle="1" w:styleId="webcast-description">
    <w:name w:val="webcast-description"/>
    <w:basedOn w:val="DefaultParagraphFont"/>
    <w:rsid w:val="00296698"/>
  </w:style>
  <w:style w:type="paragraph" w:styleId="TOC3">
    <w:name w:val="toc 3"/>
    <w:basedOn w:val="Normal"/>
    <w:next w:val="Normal"/>
    <w:autoRedefine/>
    <w:uiPriority w:val="39"/>
    <w:unhideWhenUsed/>
    <w:rsid w:val="00293B4E"/>
    <w:pPr>
      <w:spacing w:after="100"/>
      <w:ind w:left="480"/>
    </w:pPr>
  </w:style>
  <w:style w:type="paragraph" w:customStyle="1" w:styleId="textregular">
    <w:name w:val="textregular"/>
    <w:basedOn w:val="Normal"/>
    <w:rsid w:val="002A42FA"/>
    <w:pPr>
      <w:spacing w:before="100" w:beforeAutospacing="1" w:after="100" w:afterAutospacing="1"/>
    </w:pPr>
    <w:rPr>
      <w:rFonts w:ascii="Arial" w:hAnsi="Arial"/>
      <w:color w:val="auto"/>
    </w:rPr>
  </w:style>
  <w:style w:type="paragraph" w:customStyle="1" w:styleId="xl82">
    <w:name w:val="xl82"/>
    <w:basedOn w:val="Normal"/>
    <w:rsid w:val="00A254FE"/>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cs="Times New Roman"/>
      <w:color w:val="auto"/>
      <w:sz w:val="20"/>
      <w:szCs w:val="20"/>
    </w:rPr>
  </w:style>
  <w:style w:type="paragraph" w:customStyle="1" w:styleId="xl102">
    <w:name w:val="xl102"/>
    <w:basedOn w:val="Normal"/>
    <w:rsid w:val="00A254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Times New Roman"/>
      <w:color w:val="auto"/>
    </w:rPr>
  </w:style>
  <w:style w:type="paragraph" w:customStyle="1" w:styleId="xl103">
    <w:name w:val="xl103"/>
    <w:basedOn w:val="Normal"/>
    <w:rsid w:val="00A254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auto"/>
    </w:rPr>
  </w:style>
  <w:style w:type="paragraph" w:customStyle="1" w:styleId="xl104">
    <w:name w:val="xl104"/>
    <w:basedOn w:val="Normal"/>
    <w:rsid w:val="00A254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auto"/>
    </w:rPr>
  </w:style>
  <w:style w:type="paragraph" w:customStyle="1" w:styleId="xl105">
    <w:name w:val="xl105"/>
    <w:basedOn w:val="Normal"/>
    <w:rsid w:val="00A254F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Times New Roman"/>
      <w:color w:val="auto"/>
    </w:rPr>
  </w:style>
  <w:style w:type="paragraph" w:customStyle="1" w:styleId="xl106">
    <w:name w:val="xl106"/>
    <w:basedOn w:val="Normal"/>
    <w:rsid w:val="00A2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s="Times New Roman"/>
      <w:color w:val="auto"/>
    </w:rPr>
  </w:style>
  <w:style w:type="paragraph" w:customStyle="1" w:styleId="xl107">
    <w:name w:val="xl107"/>
    <w:basedOn w:val="Normal"/>
    <w:rsid w:val="00A254FE"/>
    <w:pPr>
      <w:shd w:val="clear" w:color="000000" w:fill="FFFFFF"/>
      <w:spacing w:before="100" w:beforeAutospacing="1" w:after="100" w:afterAutospacing="1"/>
      <w:jc w:val="center"/>
    </w:pPr>
    <w:rPr>
      <w:rFonts w:ascii="Verdana" w:hAnsi="Verdana" w:cs="Times New Roman"/>
      <w:color w:val="auto"/>
    </w:rPr>
  </w:style>
  <w:style w:type="paragraph" w:customStyle="1" w:styleId="xl108">
    <w:name w:val="xl108"/>
    <w:basedOn w:val="Normal"/>
    <w:rsid w:val="00A254F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Times New Roman"/>
      <w:color w:val="auto"/>
    </w:rPr>
  </w:style>
  <w:style w:type="paragraph" w:customStyle="1" w:styleId="xl109">
    <w:name w:val="xl109"/>
    <w:basedOn w:val="Normal"/>
    <w:rsid w:val="00A254F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Times New Roman"/>
      <w:color w:val="FF0000"/>
    </w:rPr>
  </w:style>
  <w:style w:type="paragraph" w:customStyle="1" w:styleId="xl110">
    <w:name w:val="xl110"/>
    <w:basedOn w:val="Normal"/>
    <w:rsid w:val="00A254F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Times New Roman"/>
      <w:color w:val="auto"/>
    </w:rPr>
  </w:style>
  <w:style w:type="paragraph" w:customStyle="1" w:styleId="xl111">
    <w:name w:val="xl111"/>
    <w:basedOn w:val="Normal"/>
    <w:rsid w:val="00A254F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Verdana" w:hAnsi="Verdana" w:cs="Times New Roman"/>
      <w:color w:val="auto"/>
    </w:rPr>
  </w:style>
  <w:style w:type="paragraph" w:customStyle="1" w:styleId="xl112">
    <w:name w:val="xl112"/>
    <w:basedOn w:val="Normal"/>
    <w:rsid w:val="00A254F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Verdana" w:hAnsi="Verdana" w:cs="Times New Roman"/>
      <w:color w:val="auto"/>
    </w:rPr>
  </w:style>
  <w:style w:type="paragraph" w:customStyle="1" w:styleId="xl113">
    <w:name w:val="xl113"/>
    <w:basedOn w:val="Normal"/>
    <w:rsid w:val="00A2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Verdana" w:hAnsi="Verdana" w:cs="Times New Roman"/>
      <w:color w:val="auto"/>
    </w:rPr>
  </w:style>
  <w:style w:type="paragraph" w:customStyle="1" w:styleId="xl114">
    <w:name w:val="xl114"/>
    <w:basedOn w:val="Normal"/>
    <w:rsid w:val="00A2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Verdana" w:hAnsi="Verdana" w:cs="Times New Roman"/>
      <w:color w:val="auto"/>
    </w:rPr>
  </w:style>
  <w:style w:type="table" w:customStyle="1" w:styleId="TableGrid1">
    <w:name w:val="Table Grid1"/>
    <w:basedOn w:val="TableNormal"/>
    <w:next w:val="TableGrid"/>
    <w:uiPriority w:val="59"/>
    <w:rsid w:val="00084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51">
    <w:name w:val="Medium Grid 1 - Accent 51"/>
    <w:basedOn w:val="TableNormal"/>
    <w:next w:val="MediumGrid1-Accent5"/>
    <w:uiPriority w:val="67"/>
    <w:rsid w:val="0007424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m241518600723365304gmail-msonormal">
    <w:name w:val="m_241518600723365304gmail-msonormal"/>
    <w:basedOn w:val="Normal"/>
    <w:rsid w:val="00866433"/>
    <w:pPr>
      <w:spacing w:before="100" w:beforeAutospacing="1" w:after="100" w:afterAutospacing="1"/>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360">
      <w:bodyDiv w:val="1"/>
      <w:marLeft w:val="0"/>
      <w:marRight w:val="0"/>
      <w:marTop w:val="0"/>
      <w:marBottom w:val="0"/>
      <w:divBdr>
        <w:top w:val="none" w:sz="0" w:space="0" w:color="auto"/>
        <w:left w:val="none" w:sz="0" w:space="0" w:color="auto"/>
        <w:bottom w:val="none" w:sz="0" w:space="0" w:color="auto"/>
        <w:right w:val="none" w:sz="0" w:space="0" w:color="auto"/>
      </w:divBdr>
    </w:div>
    <w:div w:id="19012550">
      <w:bodyDiv w:val="1"/>
      <w:marLeft w:val="0"/>
      <w:marRight w:val="0"/>
      <w:marTop w:val="0"/>
      <w:marBottom w:val="0"/>
      <w:divBdr>
        <w:top w:val="none" w:sz="0" w:space="0" w:color="auto"/>
        <w:left w:val="none" w:sz="0" w:space="0" w:color="auto"/>
        <w:bottom w:val="none" w:sz="0" w:space="0" w:color="auto"/>
        <w:right w:val="none" w:sz="0" w:space="0" w:color="auto"/>
      </w:divBdr>
    </w:div>
    <w:div w:id="19016381">
      <w:bodyDiv w:val="1"/>
      <w:marLeft w:val="0"/>
      <w:marRight w:val="0"/>
      <w:marTop w:val="0"/>
      <w:marBottom w:val="0"/>
      <w:divBdr>
        <w:top w:val="none" w:sz="0" w:space="0" w:color="auto"/>
        <w:left w:val="none" w:sz="0" w:space="0" w:color="auto"/>
        <w:bottom w:val="none" w:sz="0" w:space="0" w:color="auto"/>
        <w:right w:val="none" w:sz="0" w:space="0" w:color="auto"/>
      </w:divBdr>
    </w:div>
    <w:div w:id="28142151">
      <w:bodyDiv w:val="1"/>
      <w:marLeft w:val="0"/>
      <w:marRight w:val="0"/>
      <w:marTop w:val="0"/>
      <w:marBottom w:val="0"/>
      <w:divBdr>
        <w:top w:val="none" w:sz="0" w:space="0" w:color="auto"/>
        <w:left w:val="none" w:sz="0" w:space="0" w:color="auto"/>
        <w:bottom w:val="none" w:sz="0" w:space="0" w:color="auto"/>
        <w:right w:val="none" w:sz="0" w:space="0" w:color="auto"/>
      </w:divBdr>
    </w:div>
    <w:div w:id="33503635">
      <w:bodyDiv w:val="1"/>
      <w:marLeft w:val="0"/>
      <w:marRight w:val="0"/>
      <w:marTop w:val="0"/>
      <w:marBottom w:val="0"/>
      <w:divBdr>
        <w:top w:val="none" w:sz="0" w:space="0" w:color="auto"/>
        <w:left w:val="none" w:sz="0" w:space="0" w:color="auto"/>
        <w:bottom w:val="none" w:sz="0" w:space="0" w:color="auto"/>
        <w:right w:val="none" w:sz="0" w:space="0" w:color="auto"/>
      </w:divBdr>
    </w:div>
    <w:div w:id="37631124">
      <w:bodyDiv w:val="1"/>
      <w:marLeft w:val="0"/>
      <w:marRight w:val="0"/>
      <w:marTop w:val="0"/>
      <w:marBottom w:val="0"/>
      <w:divBdr>
        <w:top w:val="none" w:sz="0" w:space="0" w:color="auto"/>
        <w:left w:val="none" w:sz="0" w:space="0" w:color="auto"/>
        <w:bottom w:val="none" w:sz="0" w:space="0" w:color="auto"/>
        <w:right w:val="none" w:sz="0" w:space="0" w:color="auto"/>
      </w:divBdr>
    </w:div>
    <w:div w:id="39403989">
      <w:bodyDiv w:val="1"/>
      <w:marLeft w:val="0"/>
      <w:marRight w:val="0"/>
      <w:marTop w:val="0"/>
      <w:marBottom w:val="0"/>
      <w:divBdr>
        <w:top w:val="none" w:sz="0" w:space="0" w:color="auto"/>
        <w:left w:val="none" w:sz="0" w:space="0" w:color="auto"/>
        <w:bottom w:val="none" w:sz="0" w:space="0" w:color="auto"/>
        <w:right w:val="none" w:sz="0" w:space="0" w:color="auto"/>
      </w:divBdr>
    </w:div>
    <w:div w:id="48188158">
      <w:bodyDiv w:val="1"/>
      <w:marLeft w:val="0"/>
      <w:marRight w:val="0"/>
      <w:marTop w:val="0"/>
      <w:marBottom w:val="0"/>
      <w:divBdr>
        <w:top w:val="none" w:sz="0" w:space="0" w:color="auto"/>
        <w:left w:val="none" w:sz="0" w:space="0" w:color="auto"/>
        <w:bottom w:val="none" w:sz="0" w:space="0" w:color="auto"/>
        <w:right w:val="none" w:sz="0" w:space="0" w:color="auto"/>
      </w:divBdr>
    </w:div>
    <w:div w:id="66193858">
      <w:bodyDiv w:val="1"/>
      <w:marLeft w:val="0"/>
      <w:marRight w:val="0"/>
      <w:marTop w:val="0"/>
      <w:marBottom w:val="0"/>
      <w:divBdr>
        <w:top w:val="none" w:sz="0" w:space="0" w:color="auto"/>
        <w:left w:val="none" w:sz="0" w:space="0" w:color="auto"/>
        <w:bottom w:val="none" w:sz="0" w:space="0" w:color="auto"/>
        <w:right w:val="none" w:sz="0" w:space="0" w:color="auto"/>
      </w:divBdr>
    </w:div>
    <w:div w:id="66267503">
      <w:bodyDiv w:val="1"/>
      <w:marLeft w:val="0"/>
      <w:marRight w:val="0"/>
      <w:marTop w:val="0"/>
      <w:marBottom w:val="0"/>
      <w:divBdr>
        <w:top w:val="none" w:sz="0" w:space="0" w:color="auto"/>
        <w:left w:val="none" w:sz="0" w:space="0" w:color="auto"/>
        <w:bottom w:val="none" w:sz="0" w:space="0" w:color="auto"/>
        <w:right w:val="none" w:sz="0" w:space="0" w:color="auto"/>
      </w:divBdr>
    </w:div>
    <w:div w:id="81416919">
      <w:bodyDiv w:val="1"/>
      <w:marLeft w:val="0"/>
      <w:marRight w:val="0"/>
      <w:marTop w:val="0"/>
      <w:marBottom w:val="0"/>
      <w:divBdr>
        <w:top w:val="none" w:sz="0" w:space="0" w:color="auto"/>
        <w:left w:val="none" w:sz="0" w:space="0" w:color="auto"/>
        <w:bottom w:val="none" w:sz="0" w:space="0" w:color="auto"/>
        <w:right w:val="none" w:sz="0" w:space="0" w:color="auto"/>
      </w:divBdr>
    </w:div>
    <w:div w:id="82459314">
      <w:bodyDiv w:val="1"/>
      <w:marLeft w:val="0"/>
      <w:marRight w:val="0"/>
      <w:marTop w:val="0"/>
      <w:marBottom w:val="0"/>
      <w:divBdr>
        <w:top w:val="none" w:sz="0" w:space="0" w:color="auto"/>
        <w:left w:val="none" w:sz="0" w:space="0" w:color="auto"/>
        <w:bottom w:val="none" w:sz="0" w:space="0" w:color="auto"/>
        <w:right w:val="none" w:sz="0" w:space="0" w:color="auto"/>
      </w:divBdr>
    </w:div>
    <w:div w:id="89593350">
      <w:bodyDiv w:val="1"/>
      <w:marLeft w:val="0"/>
      <w:marRight w:val="0"/>
      <w:marTop w:val="0"/>
      <w:marBottom w:val="0"/>
      <w:divBdr>
        <w:top w:val="none" w:sz="0" w:space="0" w:color="auto"/>
        <w:left w:val="none" w:sz="0" w:space="0" w:color="auto"/>
        <w:bottom w:val="none" w:sz="0" w:space="0" w:color="auto"/>
        <w:right w:val="none" w:sz="0" w:space="0" w:color="auto"/>
      </w:divBdr>
    </w:div>
    <w:div w:id="111484927">
      <w:bodyDiv w:val="1"/>
      <w:marLeft w:val="0"/>
      <w:marRight w:val="0"/>
      <w:marTop w:val="0"/>
      <w:marBottom w:val="0"/>
      <w:divBdr>
        <w:top w:val="none" w:sz="0" w:space="0" w:color="auto"/>
        <w:left w:val="none" w:sz="0" w:space="0" w:color="auto"/>
        <w:bottom w:val="none" w:sz="0" w:space="0" w:color="auto"/>
        <w:right w:val="none" w:sz="0" w:space="0" w:color="auto"/>
      </w:divBdr>
    </w:div>
    <w:div w:id="111828118">
      <w:bodyDiv w:val="1"/>
      <w:marLeft w:val="0"/>
      <w:marRight w:val="0"/>
      <w:marTop w:val="0"/>
      <w:marBottom w:val="0"/>
      <w:divBdr>
        <w:top w:val="none" w:sz="0" w:space="0" w:color="auto"/>
        <w:left w:val="none" w:sz="0" w:space="0" w:color="auto"/>
        <w:bottom w:val="none" w:sz="0" w:space="0" w:color="auto"/>
        <w:right w:val="none" w:sz="0" w:space="0" w:color="auto"/>
      </w:divBdr>
    </w:div>
    <w:div w:id="115804306">
      <w:bodyDiv w:val="1"/>
      <w:marLeft w:val="0"/>
      <w:marRight w:val="0"/>
      <w:marTop w:val="0"/>
      <w:marBottom w:val="0"/>
      <w:divBdr>
        <w:top w:val="none" w:sz="0" w:space="0" w:color="auto"/>
        <w:left w:val="none" w:sz="0" w:space="0" w:color="auto"/>
        <w:bottom w:val="none" w:sz="0" w:space="0" w:color="auto"/>
        <w:right w:val="none" w:sz="0" w:space="0" w:color="auto"/>
      </w:divBdr>
    </w:div>
    <w:div w:id="120419300">
      <w:bodyDiv w:val="1"/>
      <w:marLeft w:val="0"/>
      <w:marRight w:val="0"/>
      <w:marTop w:val="0"/>
      <w:marBottom w:val="0"/>
      <w:divBdr>
        <w:top w:val="none" w:sz="0" w:space="0" w:color="auto"/>
        <w:left w:val="none" w:sz="0" w:space="0" w:color="auto"/>
        <w:bottom w:val="none" w:sz="0" w:space="0" w:color="auto"/>
        <w:right w:val="none" w:sz="0" w:space="0" w:color="auto"/>
      </w:divBdr>
      <w:divsChild>
        <w:div w:id="601842333">
          <w:marLeft w:val="547"/>
          <w:marRight w:val="0"/>
          <w:marTop w:val="72"/>
          <w:marBottom w:val="0"/>
          <w:divBdr>
            <w:top w:val="none" w:sz="0" w:space="0" w:color="auto"/>
            <w:left w:val="none" w:sz="0" w:space="0" w:color="auto"/>
            <w:bottom w:val="none" w:sz="0" w:space="0" w:color="auto"/>
            <w:right w:val="none" w:sz="0" w:space="0" w:color="auto"/>
          </w:divBdr>
        </w:div>
        <w:div w:id="873542289">
          <w:marLeft w:val="1166"/>
          <w:marRight w:val="0"/>
          <w:marTop w:val="62"/>
          <w:marBottom w:val="0"/>
          <w:divBdr>
            <w:top w:val="none" w:sz="0" w:space="0" w:color="auto"/>
            <w:left w:val="none" w:sz="0" w:space="0" w:color="auto"/>
            <w:bottom w:val="none" w:sz="0" w:space="0" w:color="auto"/>
            <w:right w:val="none" w:sz="0" w:space="0" w:color="auto"/>
          </w:divBdr>
        </w:div>
        <w:div w:id="1449280655">
          <w:marLeft w:val="1166"/>
          <w:marRight w:val="0"/>
          <w:marTop w:val="62"/>
          <w:marBottom w:val="0"/>
          <w:divBdr>
            <w:top w:val="none" w:sz="0" w:space="0" w:color="auto"/>
            <w:left w:val="none" w:sz="0" w:space="0" w:color="auto"/>
            <w:bottom w:val="none" w:sz="0" w:space="0" w:color="auto"/>
            <w:right w:val="none" w:sz="0" w:space="0" w:color="auto"/>
          </w:divBdr>
        </w:div>
      </w:divsChild>
    </w:div>
    <w:div w:id="122161663">
      <w:bodyDiv w:val="1"/>
      <w:marLeft w:val="0"/>
      <w:marRight w:val="0"/>
      <w:marTop w:val="0"/>
      <w:marBottom w:val="0"/>
      <w:divBdr>
        <w:top w:val="none" w:sz="0" w:space="0" w:color="auto"/>
        <w:left w:val="none" w:sz="0" w:space="0" w:color="auto"/>
        <w:bottom w:val="none" w:sz="0" w:space="0" w:color="auto"/>
        <w:right w:val="none" w:sz="0" w:space="0" w:color="auto"/>
      </w:divBdr>
    </w:div>
    <w:div w:id="127478170">
      <w:bodyDiv w:val="1"/>
      <w:marLeft w:val="27"/>
      <w:marRight w:val="27"/>
      <w:marTop w:val="0"/>
      <w:marBottom w:val="0"/>
      <w:divBdr>
        <w:top w:val="none" w:sz="0" w:space="0" w:color="auto"/>
        <w:left w:val="none" w:sz="0" w:space="0" w:color="auto"/>
        <w:bottom w:val="none" w:sz="0" w:space="0" w:color="auto"/>
        <w:right w:val="none" w:sz="0" w:space="0" w:color="auto"/>
      </w:divBdr>
      <w:divsChild>
        <w:div w:id="88241564">
          <w:marLeft w:val="0"/>
          <w:marRight w:val="0"/>
          <w:marTop w:val="0"/>
          <w:marBottom w:val="0"/>
          <w:divBdr>
            <w:top w:val="none" w:sz="0" w:space="0" w:color="auto"/>
            <w:left w:val="none" w:sz="0" w:space="0" w:color="auto"/>
            <w:bottom w:val="none" w:sz="0" w:space="0" w:color="auto"/>
            <w:right w:val="none" w:sz="0" w:space="0" w:color="auto"/>
          </w:divBdr>
          <w:divsChild>
            <w:div w:id="570310837">
              <w:marLeft w:val="0"/>
              <w:marRight w:val="0"/>
              <w:marTop w:val="0"/>
              <w:marBottom w:val="0"/>
              <w:divBdr>
                <w:top w:val="none" w:sz="0" w:space="0" w:color="auto"/>
                <w:left w:val="none" w:sz="0" w:space="0" w:color="auto"/>
                <w:bottom w:val="none" w:sz="0" w:space="0" w:color="auto"/>
                <w:right w:val="none" w:sz="0" w:space="0" w:color="auto"/>
              </w:divBdr>
              <w:divsChild>
                <w:div w:id="1523281185">
                  <w:marLeft w:val="163"/>
                  <w:marRight w:val="0"/>
                  <w:marTop w:val="0"/>
                  <w:marBottom w:val="0"/>
                  <w:divBdr>
                    <w:top w:val="none" w:sz="0" w:space="0" w:color="auto"/>
                    <w:left w:val="none" w:sz="0" w:space="0" w:color="auto"/>
                    <w:bottom w:val="none" w:sz="0" w:space="0" w:color="auto"/>
                    <w:right w:val="none" w:sz="0" w:space="0" w:color="auto"/>
                  </w:divBdr>
                  <w:divsChild>
                    <w:div w:id="19717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8733">
      <w:bodyDiv w:val="1"/>
      <w:marLeft w:val="0"/>
      <w:marRight w:val="0"/>
      <w:marTop w:val="0"/>
      <w:marBottom w:val="0"/>
      <w:divBdr>
        <w:top w:val="none" w:sz="0" w:space="0" w:color="auto"/>
        <w:left w:val="none" w:sz="0" w:space="0" w:color="auto"/>
        <w:bottom w:val="none" w:sz="0" w:space="0" w:color="auto"/>
        <w:right w:val="none" w:sz="0" w:space="0" w:color="auto"/>
      </w:divBdr>
    </w:div>
    <w:div w:id="158272966">
      <w:bodyDiv w:val="1"/>
      <w:marLeft w:val="0"/>
      <w:marRight w:val="0"/>
      <w:marTop w:val="0"/>
      <w:marBottom w:val="0"/>
      <w:divBdr>
        <w:top w:val="none" w:sz="0" w:space="0" w:color="auto"/>
        <w:left w:val="none" w:sz="0" w:space="0" w:color="auto"/>
        <w:bottom w:val="none" w:sz="0" w:space="0" w:color="auto"/>
        <w:right w:val="none" w:sz="0" w:space="0" w:color="auto"/>
      </w:divBdr>
    </w:div>
    <w:div w:id="158541796">
      <w:bodyDiv w:val="1"/>
      <w:marLeft w:val="0"/>
      <w:marRight w:val="0"/>
      <w:marTop w:val="0"/>
      <w:marBottom w:val="0"/>
      <w:divBdr>
        <w:top w:val="none" w:sz="0" w:space="0" w:color="auto"/>
        <w:left w:val="none" w:sz="0" w:space="0" w:color="auto"/>
        <w:bottom w:val="none" w:sz="0" w:space="0" w:color="auto"/>
        <w:right w:val="none" w:sz="0" w:space="0" w:color="auto"/>
      </w:divBdr>
    </w:div>
    <w:div w:id="164055340">
      <w:bodyDiv w:val="1"/>
      <w:marLeft w:val="0"/>
      <w:marRight w:val="0"/>
      <w:marTop w:val="0"/>
      <w:marBottom w:val="0"/>
      <w:divBdr>
        <w:top w:val="none" w:sz="0" w:space="0" w:color="auto"/>
        <w:left w:val="none" w:sz="0" w:space="0" w:color="auto"/>
        <w:bottom w:val="none" w:sz="0" w:space="0" w:color="auto"/>
        <w:right w:val="none" w:sz="0" w:space="0" w:color="auto"/>
      </w:divBdr>
    </w:div>
    <w:div w:id="164832607">
      <w:bodyDiv w:val="1"/>
      <w:marLeft w:val="0"/>
      <w:marRight w:val="0"/>
      <w:marTop w:val="0"/>
      <w:marBottom w:val="0"/>
      <w:divBdr>
        <w:top w:val="none" w:sz="0" w:space="0" w:color="auto"/>
        <w:left w:val="none" w:sz="0" w:space="0" w:color="auto"/>
        <w:bottom w:val="none" w:sz="0" w:space="0" w:color="auto"/>
        <w:right w:val="none" w:sz="0" w:space="0" w:color="auto"/>
      </w:divBdr>
    </w:div>
    <w:div w:id="176161369">
      <w:bodyDiv w:val="1"/>
      <w:marLeft w:val="0"/>
      <w:marRight w:val="0"/>
      <w:marTop w:val="0"/>
      <w:marBottom w:val="0"/>
      <w:divBdr>
        <w:top w:val="none" w:sz="0" w:space="0" w:color="auto"/>
        <w:left w:val="none" w:sz="0" w:space="0" w:color="auto"/>
        <w:bottom w:val="none" w:sz="0" w:space="0" w:color="auto"/>
        <w:right w:val="none" w:sz="0" w:space="0" w:color="auto"/>
      </w:divBdr>
    </w:div>
    <w:div w:id="176620251">
      <w:bodyDiv w:val="1"/>
      <w:marLeft w:val="0"/>
      <w:marRight w:val="0"/>
      <w:marTop w:val="0"/>
      <w:marBottom w:val="0"/>
      <w:divBdr>
        <w:top w:val="none" w:sz="0" w:space="0" w:color="auto"/>
        <w:left w:val="none" w:sz="0" w:space="0" w:color="auto"/>
        <w:bottom w:val="none" w:sz="0" w:space="0" w:color="auto"/>
        <w:right w:val="none" w:sz="0" w:space="0" w:color="auto"/>
      </w:divBdr>
    </w:div>
    <w:div w:id="182911965">
      <w:bodyDiv w:val="1"/>
      <w:marLeft w:val="0"/>
      <w:marRight w:val="0"/>
      <w:marTop w:val="0"/>
      <w:marBottom w:val="0"/>
      <w:divBdr>
        <w:top w:val="none" w:sz="0" w:space="0" w:color="auto"/>
        <w:left w:val="none" w:sz="0" w:space="0" w:color="auto"/>
        <w:bottom w:val="none" w:sz="0" w:space="0" w:color="auto"/>
        <w:right w:val="none" w:sz="0" w:space="0" w:color="auto"/>
      </w:divBdr>
    </w:div>
    <w:div w:id="187959418">
      <w:bodyDiv w:val="1"/>
      <w:marLeft w:val="23"/>
      <w:marRight w:val="23"/>
      <w:marTop w:val="0"/>
      <w:marBottom w:val="0"/>
      <w:divBdr>
        <w:top w:val="none" w:sz="0" w:space="0" w:color="auto"/>
        <w:left w:val="none" w:sz="0" w:space="0" w:color="auto"/>
        <w:bottom w:val="none" w:sz="0" w:space="0" w:color="auto"/>
        <w:right w:val="none" w:sz="0" w:space="0" w:color="auto"/>
      </w:divBdr>
      <w:divsChild>
        <w:div w:id="376703697">
          <w:marLeft w:val="0"/>
          <w:marRight w:val="0"/>
          <w:marTop w:val="0"/>
          <w:marBottom w:val="0"/>
          <w:divBdr>
            <w:top w:val="none" w:sz="0" w:space="0" w:color="auto"/>
            <w:left w:val="none" w:sz="0" w:space="0" w:color="auto"/>
            <w:bottom w:val="none" w:sz="0" w:space="0" w:color="auto"/>
            <w:right w:val="none" w:sz="0" w:space="0" w:color="auto"/>
          </w:divBdr>
          <w:divsChild>
            <w:div w:id="60831518">
              <w:marLeft w:val="0"/>
              <w:marRight w:val="0"/>
              <w:marTop w:val="0"/>
              <w:marBottom w:val="0"/>
              <w:divBdr>
                <w:top w:val="none" w:sz="0" w:space="0" w:color="auto"/>
                <w:left w:val="none" w:sz="0" w:space="0" w:color="auto"/>
                <w:bottom w:val="none" w:sz="0" w:space="0" w:color="auto"/>
                <w:right w:val="none" w:sz="0" w:space="0" w:color="auto"/>
              </w:divBdr>
              <w:divsChild>
                <w:div w:id="1725182032">
                  <w:marLeft w:val="138"/>
                  <w:marRight w:val="0"/>
                  <w:marTop w:val="0"/>
                  <w:marBottom w:val="0"/>
                  <w:divBdr>
                    <w:top w:val="none" w:sz="0" w:space="0" w:color="auto"/>
                    <w:left w:val="none" w:sz="0" w:space="0" w:color="auto"/>
                    <w:bottom w:val="none" w:sz="0" w:space="0" w:color="auto"/>
                    <w:right w:val="none" w:sz="0" w:space="0" w:color="auto"/>
                  </w:divBdr>
                  <w:divsChild>
                    <w:div w:id="663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3664">
      <w:bodyDiv w:val="1"/>
      <w:marLeft w:val="0"/>
      <w:marRight w:val="0"/>
      <w:marTop w:val="0"/>
      <w:marBottom w:val="0"/>
      <w:divBdr>
        <w:top w:val="none" w:sz="0" w:space="0" w:color="auto"/>
        <w:left w:val="none" w:sz="0" w:space="0" w:color="auto"/>
        <w:bottom w:val="none" w:sz="0" w:space="0" w:color="auto"/>
        <w:right w:val="none" w:sz="0" w:space="0" w:color="auto"/>
      </w:divBdr>
    </w:div>
    <w:div w:id="199585628">
      <w:bodyDiv w:val="1"/>
      <w:marLeft w:val="0"/>
      <w:marRight w:val="0"/>
      <w:marTop w:val="0"/>
      <w:marBottom w:val="0"/>
      <w:divBdr>
        <w:top w:val="none" w:sz="0" w:space="0" w:color="auto"/>
        <w:left w:val="none" w:sz="0" w:space="0" w:color="auto"/>
        <w:bottom w:val="none" w:sz="0" w:space="0" w:color="auto"/>
        <w:right w:val="none" w:sz="0" w:space="0" w:color="auto"/>
      </w:divBdr>
    </w:div>
    <w:div w:id="204372790">
      <w:bodyDiv w:val="1"/>
      <w:marLeft w:val="0"/>
      <w:marRight w:val="0"/>
      <w:marTop w:val="0"/>
      <w:marBottom w:val="0"/>
      <w:divBdr>
        <w:top w:val="none" w:sz="0" w:space="0" w:color="auto"/>
        <w:left w:val="none" w:sz="0" w:space="0" w:color="auto"/>
        <w:bottom w:val="none" w:sz="0" w:space="0" w:color="auto"/>
        <w:right w:val="none" w:sz="0" w:space="0" w:color="auto"/>
      </w:divBdr>
    </w:div>
    <w:div w:id="210726480">
      <w:bodyDiv w:val="1"/>
      <w:marLeft w:val="0"/>
      <w:marRight w:val="0"/>
      <w:marTop w:val="0"/>
      <w:marBottom w:val="0"/>
      <w:divBdr>
        <w:top w:val="none" w:sz="0" w:space="0" w:color="auto"/>
        <w:left w:val="none" w:sz="0" w:space="0" w:color="auto"/>
        <w:bottom w:val="none" w:sz="0" w:space="0" w:color="auto"/>
        <w:right w:val="none" w:sz="0" w:space="0" w:color="auto"/>
      </w:divBdr>
    </w:div>
    <w:div w:id="211967880">
      <w:bodyDiv w:val="1"/>
      <w:marLeft w:val="0"/>
      <w:marRight w:val="0"/>
      <w:marTop w:val="0"/>
      <w:marBottom w:val="0"/>
      <w:divBdr>
        <w:top w:val="none" w:sz="0" w:space="0" w:color="auto"/>
        <w:left w:val="none" w:sz="0" w:space="0" w:color="auto"/>
        <w:bottom w:val="none" w:sz="0" w:space="0" w:color="auto"/>
        <w:right w:val="none" w:sz="0" w:space="0" w:color="auto"/>
      </w:divBdr>
    </w:div>
    <w:div w:id="213784682">
      <w:bodyDiv w:val="1"/>
      <w:marLeft w:val="0"/>
      <w:marRight w:val="0"/>
      <w:marTop w:val="0"/>
      <w:marBottom w:val="0"/>
      <w:divBdr>
        <w:top w:val="none" w:sz="0" w:space="0" w:color="auto"/>
        <w:left w:val="none" w:sz="0" w:space="0" w:color="auto"/>
        <w:bottom w:val="none" w:sz="0" w:space="0" w:color="auto"/>
        <w:right w:val="none" w:sz="0" w:space="0" w:color="auto"/>
      </w:divBdr>
    </w:div>
    <w:div w:id="218829462">
      <w:bodyDiv w:val="1"/>
      <w:marLeft w:val="0"/>
      <w:marRight w:val="0"/>
      <w:marTop w:val="0"/>
      <w:marBottom w:val="0"/>
      <w:divBdr>
        <w:top w:val="none" w:sz="0" w:space="0" w:color="auto"/>
        <w:left w:val="none" w:sz="0" w:space="0" w:color="auto"/>
        <w:bottom w:val="none" w:sz="0" w:space="0" w:color="auto"/>
        <w:right w:val="none" w:sz="0" w:space="0" w:color="auto"/>
      </w:divBdr>
      <w:divsChild>
        <w:div w:id="652414403">
          <w:marLeft w:val="0"/>
          <w:marRight w:val="0"/>
          <w:marTop w:val="0"/>
          <w:marBottom w:val="0"/>
          <w:divBdr>
            <w:top w:val="none" w:sz="0" w:space="0" w:color="auto"/>
            <w:left w:val="none" w:sz="0" w:space="0" w:color="auto"/>
            <w:bottom w:val="none" w:sz="0" w:space="0" w:color="auto"/>
            <w:right w:val="none" w:sz="0" w:space="0" w:color="auto"/>
          </w:divBdr>
          <w:divsChild>
            <w:div w:id="1823615006">
              <w:marLeft w:val="0"/>
              <w:marRight w:val="0"/>
              <w:marTop w:val="0"/>
              <w:marBottom w:val="0"/>
              <w:divBdr>
                <w:top w:val="none" w:sz="0" w:space="0" w:color="auto"/>
                <w:left w:val="none" w:sz="0" w:space="0" w:color="auto"/>
                <w:bottom w:val="none" w:sz="0" w:space="0" w:color="auto"/>
                <w:right w:val="none" w:sz="0" w:space="0" w:color="auto"/>
              </w:divBdr>
              <w:divsChild>
                <w:div w:id="359289">
                  <w:marLeft w:val="0"/>
                  <w:marRight w:val="0"/>
                  <w:marTop w:val="0"/>
                  <w:marBottom w:val="0"/>
                  <w:divBdr>
                    <w:top w:val="none" w:sz="0" w:space="0" w:color="auto"/>
                    <w:left w:val="none" w:sz="0" w:space="0" w:color="auto"/>
                    <w:bottom w:val="none" w:sz="0" w:space="0" w:color="auto"/>
                    <w:right w:val="none" w:sz="0" w:space="0" w:color="auto"/>
                  </w:divBdr>
                  <w:divsChild>
                    <w:div w:id="1044018568">
                      <w:marLeft w:val="0"/>
                      <w:marRight w:val="0"/>
                      <w:marTop w:val="0"/>
                      <w:marBottom w:val="0"/>
                      <w:divBdr>
                        <w:top w:val="none" w:sz="0" w:space="0" w:color="auto"/>
                        <w:left w:val="none" w:sz="0" w:space="0" w:color="auto"/>
                        <w:bottom w:val="none" w:sz="0" w:space="0" w:color="auto"/>
                        <w:right w:val="none" w:sz="0" w:space="0" w:color="auto"/>
                      </w:divBdr>
                      <w:divsChild>
                        <w:div w:id="1014724988">
                          <w:marLeft w:val="0"/>
                          <w:marRight w:val="0"/>
                          <w:marTop w:val="0"/>
                          <w:marBottom w:val="0"/>
                          <w:divBdr>
                            <w:top w:val="none" w:sz="0" w:space="0" w:color="auto"/>
                            <w:left w:val="none" w:sz="0" w:space="0" w:color="auto"/>
                            <w:bottom w:val="none" w:sz="0" w:space="0" w:color="auto"/>
                            <w:right w:val="none" w:sz="0" w:space="0" w:color="auto"/>
                          </w:divBdr>
                          <w:divsChild>
                            <w:div w:id="1642491159">
                              <w:marLeft w:val="-225"/>
                              <w:marRight w:val="-225"/>
                              <w:marTop w:val="0"/>
                              <w:marBottom w:val="0"/>
                              <w:divBdr>
                                <w:top w:val="none" w:sz="0" w:space="0" w:color="auto"/>
                                <w:left w:val="none" w:sz="0" w:space="0" w:color="auto"/>
                                <w:bottom w:val="none" w:sz="0" w:space="0" w:color="auto"/>
                                <w:right w:val="none" w:sz="0" w:space="0" w:color="auto"/>
                              </w:divBdr>
                              <w:divsChild>
                                <w:div w:id="1548183869">
                                  <w:marLeft w:val="0"/>
                                  <w:marRight w:val="0"/>
                                  <w:marTop w:val="0"/>
                                  <w:marBottom w:val="0"/>
                                  <w:divBdr>
                                    <w:top w:val="none" w:sz="0" w:space="0" w:color="auto"/>
                                    <w:left w:val="none" w:sz="0" w:space="0" w:color="auto"/>
                                    <w:bottom w:val="none" w:sz="0" w:space="0" w:color="auto"/>
                                    <w:right w:val="none" w:sz="0" w:space="0" w:color="auto"/>
                                  </w:divBdr>
                                  <w:divsChild>
                                    <w:div w:id="14254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245380">
      <w:bodyDiv w:val="1"/>
      <w:marLeft w:val="0"/>
      <w:marRight w:val="0"/>
      <w:marTop w:val="0"/>
      <w:marBottom w:val="0"/>
      <w:divBdr>
        <w:top w:val="none" w:sz="0" w:space="0" w:color="auto"/>
        <w:left w:val="none" w:sz="0" w:space="0" w:color="auto"/>
        <w:bottom w:val="none" w:sz="0" w:space="0" w:color="auto"/>
        <w:right w:val="none" w:sz="0" w:space="0" w:color="auto"/>
      </w:divBdr>
    </w:div>
    <w:div w:id="221672410">
      <w:bodyDiv w:val="1"/>
      <w:marLeft w:val="0"/>
      <w:marRight w:val="0"/>
      <w:marTop w:val="0"/>
      <w:marBottom w:val="0"/>
      <w:divBdr>
        <w:top w:val="none" w:sz="0" w:space="0" w:color="auto"/>
        <w:left w:val="none" w:sz="0" w:space="0" w:color="auto"/>
        <w:bottom w:val="none" w:sz="0" w:space="0" w:color="auto"/>
        <w:right w:val="none" w:sz="0" w:space="0" w:color="auto"/>
      </w:divBdr>
    </w:div>
    <w:div w:id="224222160">
      <w:bodyDiv w:val="1"/>
      <w:marLeft w:val="0"/>
      <w:marRight w:val="0"/>
      <w:marTop w:val="0"/>
      <w:marBottom w:val="0"/>
      <w:divBdr>
        <w:top w:val="none" w:sz="0" w:space="0" w:color="auto"/>
        <w:left w:val="none" w:sz="0" w:space="0" w:color="auto"/>
        <w:bottom w:val="none" w:sz="0" w:space="0" w:color="auto"/>
        <w:right w:val="none" w:sz="0" w:space="0" w:color="auto"/>
      </w:divBdr>
    </w:div>
    <w:div w:id="228006384">
      <w:bodyDiv w:val="1"/>
      <w:marLeft w:val="0"/>
      <w:marRight w:val="0"/>
      <w:marTop w:val="0"/>
      <w:marBottom w:val="0"/>
      <w:divBdr>
        <w:top w:val="none" w:sz="0" w:space="0" w:color="auto"/>
        <w:left w:val="none" w:sz="0" w:space="0" w:color="auto"/>
        <w:bottom w:val="none" w:sz="0" w:space="0" w:color="auto"/>
        <w:right w:val="none" w:sz="0" w:space="0" w:color="auto"/>
      </w:divBdr>
    </w:div>
    <w:div w:id="241990658">
      <w:bodyDiv w:val="1"/>
      <w:marLeft w:val="0"/>
      <w:marRight w:val="0"/>
      <w:marTop w:val="0"/>
      <w:marBottom w:val="0"/>
      <w:divBdr>
        <w:top w:val="none" w:sz="0" w:space="0" w:color="auto"/>
        <w:left w:val="none" w:sz="0" w:space="0" w:color="auto"/>
        <w:bottom w:val="none" w:sz="0" w:space="0" w:color="auto"/>
        <w:right w:val="none" w:sz="0" w:space="0" w:color="auto"/>
      </w:divBdr>
    </w:div>
    <w:div w:id="247233406">
      <w:bodyDiv w:val="1"/>
      <w:marLeft w:val="0"/>
      <w:marRight w:val="0"/>
      <w:marTop w:val="0"/>
      <w:marBottom w:val="0"/>
      <w:divBdr>
        <w:top w:val="none" w:sz="0" w:space="0" w:color="auto"/>
        <w:left w:val="none" w:sz="0" w:space="0" w:color="auto"/>
        <w:bottom w:val="none" w:sz="0" w:space="0" w:color="auto"/>
        <w:right w:val="none" w:sz="0" w:space="0" w:color="auto"/>
      </w:divBdr>
    </w:div>
    <w:div w:id="248277662">
      <w:bodyDiv w:val="1"/>
      <w:marLeft w:val="0"/>
      <w:marRight w:val="0"/>
      <w:marTop w:val="0"/>
      <w:marBottom w:val="0"/>
      <w:divBdr>
        <w:top w:val="none" w:sz="0" w:space="0" w:color="auto"/>
        <w:left w:val="none" w:sz="0" w:space="0" w:color="auto"/>
        <w:bottom w:val="none" w:sz="0" w:space="0" w:color="auto"/>
        <w:right w:val="none" w:sz="0" w:space="0" w:color="auto"/>
      </w:divBdr>
    </w:div>
    <w:div w:id="250822953">
      <w:bodyDiv w:val="1"/>
      <w:marLeft w:val="0"/>
      <w:marRight w:val="0"/>
      <w:marTop w:val="0"/>
      <w:marBottom w:val="0"/>
      <w:divBdr>
        <w:top w:val="none" w:sz="0" w:space="0" w:color="auto"/>
        <w:left w:val="none" w:sz="0" w:space="0" w:color="auto"/>
        <w:bottom w:val="none" w:sz="0" w:space="0" w:color="auto"/>
        <w:right w:val="none" w:sz="0" w:space="0" w:color="auto"/>
      </w:divBdr>
    </w:div>
    <w:div w:id="264115139">
      <w:bodyDiv w:val="1"/>
      <w:marLeft w:val="0"/>
      <w:marRight w:val="0"/>
      <w:marTop w:val="0"/>
      <w:marBottom w:val="0"/>
      <w:divBdr>
        <w:top w:val="none" w:sz="0" w:space="0" w:color="auto"/>
        <w:left w:val="none" w:sz="0" w:space="0" w:color="auto"/>
        <w:bottom w:val="none" w:sz="0" w:space="0" w:color="auto"/>
        <w:right w:val="none" w:sz="0" w:space="0" w:color="auto"/>
      </w:divBdr>
    </w:div>
    <w:div w:id="279847259">
      <w:bodyDiv w:val="1"/>
      <w:marLeft w:val="0"/>
      <w:marRight w:val="0"/>
      <w:marTop w:val="0"/>
      <w:marBottom w:val="0"/>
      <w:divBdr>
        <w:top w:val="none" w:sz="0" w:space="0" w:color="auto"/>
        <w:left w:val="none" w:sz="0" w:space="0" w:color="auto"/>
        <w:bottom w:val="none" w:sz="0" w:space="0" w:color="auto"/>
        <w:right w:val="none" w:sz="0" w:space="0" w:color="auto"/>
      </w:divBdr>
    </w:div>
    <w:div w:id="280916329">
      <w:bodyDiv w:val="1"/>
      <w:marLeft w:val="0"/>
      <w:marRight w:val="0"/>
      <w:marTop w:val="0"/>
      <w:marBottom w:val="0"/>
      <w:divBdr>
        <w:top w:val="none" w:sz="0" w:space="0" w:color="auto"/>
        <w:left w:val="none" w:sz="0" w:space="0" w:color="auto"/>
        <w:bottom w:val="none" w:sz="0" w:space="0" w:color="auto"/>
        <w:right w:val="none" w:sz="0" w:space="0" w:color="auto"/>
      </w:divBdr>
    </w:div>
    <w:div w:id="281959361">
      <w:bodyDiv w:val="1"/>
      <w:marLeft w:val="0"/>
      <w:marRight w:val="0"/>
      <w:marTop w:val="0"/>
      <w:marBottom w:val="0"/>
      <w:divBdr>
        <w:top w:val="none" w:sz="0" w:space="0" w:color="auto"/>
        <w:left w:val="none" w:sz="0" w:space="0" w:color="auto"/>
        <w:bottom w:val="none" w:sz="0" w:space="0" w:color="auto"/>
        <w:right w:val="none" w:sz="0" w:space="0" w:color="auto"/>
      </w:divBdr>
    </w:div>
    <w:div w:id="283851122">
      <w:bodyDiv w:val="1"/>
      <w:marLeft w:val="0"/>
      <w:marRight w:val="0"/>
      <w:marTop w:val="0"/>
      <w:marBottom w:val="0"/>
      <w:divBdr>
        <w:top w:val="none" w:sz="0" w:space="0" w:color="auto"/>
        <w:left w:val="none" w:sz="0" w:space="0" w:color="auto"/>
        <w:bottom w:val="none" w:sz="0" w:space="0" w:color="auto"/>
        <w:right w:val="none" w:sz="0" w:space="0" w:color="auto"/>
      </w:divBdr>
    </w:div>
    <w:div w:id="294221769">
      <w:bodyDiv w:val="1"/>
      <w:marLeft w:val="0"/>
      <w:marRight w:val="0"/>
      <w:marTop w:val="0"/>
      <w:marBottom w:val="0"/>
      <w:divBdr>
        <w:top w:val="none" w:sz="0" w:space="0" w:color="auto"/>
        <w:left w:val="none" w:sz="0" w:space="0" w:color="auto"/>
        <w:bottom w:val="none" w:sz="0" w:space="0" w:color="auto"/>
        <w:right w:val="none" w:sz="0" w:space="0" w:color="auto"/>
      </w:divBdr>
    </w:div>
    <w:div w:id="294680801">
      <w:bodyDiv w:val="1"/>
      <w:marLeft w:val="0"/>
      <w:marRight w:val="0"/>
      <w:marTop w:val="0"/>
      <w:marBottom w:val="0"/>
      <w:divBdr>
        <w:top w:val="none" w:sz="0" w:space="0" w:color="auto"/>
        <w:left w:val="none" w:sz="0" w:space="0" w:color="auto"/>
        <w:bottom w:val="none" w:sz="0" w:space="0" w:color="auto"/>
        <w:right w:val="none" w:sz="0" w:space="0" w:color="auto"/>
      </w:divBdr>
    </w:div>
    <w:div w:id="298851283">
      <w:bodyDiv w:val="1"/>
      <w:marLeft w:val="0"/>
      <w:marRight w:val="0"/>
      <w:marTop w:val="0"/>
      <w:marBottom w:val="0"/>
      <w:divBdr>
        <w:top w:val="none" w:sz="0" w:space="0" w:color="auto"/>
        <w:left w:val="none" w:sz="0" w:space="0" w:color="auto"/>
        <w:bottom w:val="none" w:sz="0" w:space="0" w:color="auto"/>
        <w:right w:val="none" w:sz="0" w:space="0" w:color="auto"/>
      </w:divBdr>
    </w:div>
    <w:div w:id="300814652">
      <w:bodyDiv w:val="1"/>
      <w:marLeft w:val="0"/>
      <w:marRight w:val="0"/>
      <w:marTop w:val="0"/>
      <w:marBottom w:val="0"/>
      <w:divBdr>
        <w:top w:val="none" w:sz="0" w:space="0" w:color="auto"/>
        <w:left w:val="none" w:sz="0" w:space="0" w:color="auto"/>
        <w:bottom w:val="none" w:sz="0" w:space="0" w:color="auto"/>
        <w:right w:val="none" w:sz="0" w:space="0" w:color="auto"/>
      </w:divBdr>
    </w:div>
    <w:div w:id="302858405">
      <w:bodyDiv w:val="1"/>
      <w:marLeft w:val="0"/>
      <w:marRight w:val="0"/>
      <w:marTop w:val="0"/>
      <w:marBottom w:val="0"/>
      <w:divBdr>
        <w:top w:val="none" w:sz="0" w:space="0" w:color="auto"/>
        <w:left w:val="none" w:sz="0" w:space="0" w:color="auto"/>
        <w:bottom w:val="none" w:sz="0" w:space="0" w:color="auto"/>
        <w:right w:val="none" w:sz="0" w:space="0" w:color="auto"/>
      </w:divBdr>
    </w:div>
    <w:div w:id="308169057">
      <w:bodyDiv w:val="1"/>
      <w:marLeft w:val="0"/>
      <w:marRight w:val="0"/>
      <w:marTop w:val="0"/>
      <w:marBottom w:val="0"/>
      <w:divBdr>
        <w:top w:val="none" w:sz="0" w:space="0" w:color="auto"/>
        <w:left w:val="none" w:sz="0" w:space="0" w:color="auto"/>
        <w:bottom w:val="none" w:sz="0" w:space="0" w:color="auto"/>
        <w:right w:val="none" w:sz="0" w:space="0" w:color="auto"/>
      </w:divBdr>
    </w:div>
    <w:div w:id="323826519">
      <w:bodyDiv w:val="1"/>
      <w:marLeft w:val="0"/>
      <w:marRight w:val="0"/>
      <w:marTop w:val="0"/>
      <w:marBottom w:val="0"/>
      <w:divBdr>
        <w:top w:val="none" w:sz="0" w:space="0" w:color="auto"/>
        <w:left w:val="none" w:sz="0" w:space="0" w:color="auto"/>
        <w:bottom w:val="none" w:sz="0" w:space="0" w:color="auto"/>
        <w:right w:val="none" w:sz="0" w:space="0" w:color="auto"/>
      </w:divBdr>
    </w:div>
    <w:div w:id="329187768">
      <w:bodyDiv w:val="1"/>
      <w:marLeft w:val="0"/>
      <w:marRight w:val="0"/>
      <w:marTop w:val="0"/>
      <w:marBottom w:val="0"/>
      <w:divBdr>
        <w:top w:val="none" w:sz="0" w:space="0" w:color="auto"/>
        <w:left w:val="none" w:sz="0" w:space="0" w:color="auto"/>
        <w:bottom w:val="none" w:sz="0" w:space="0" w:color="auto"/>
        <w:right w:val="none" w:sz="0" w:space="0" w:color="auto"/>
      </w:divBdr>
    </w:div>
    <w:div w:id="332228161">
      <w:bodyDiv w:val="1"/>
      <w:marLeft w:val="0"/>
      <w:marRight w:val="0"/>
      <w:marTop w:val="0"/>
      <w:marBottom w:val="0"/>
      <w:divBdr>
        <w:top w:val="none" w:sz="0" w:space="0" w:color="auto"/>
        <w:left w:val="none" w:sz="0" w:space="0" w:color="auto"/>
        <w:bottom w:val="none" w:sz="0" w:space="0" w:color="auto"/>
        <w:right w:val="none" w:sz="0" w:space="0" w:color="auto"/>
      </w:divBdr>
    </w:div>
    <w:div w:id="332685909">
      <w:bodyDiv w:val="1"/>
      <w:marLeft w:val="0"/>
      <w:marRight w:val="0"/>
      <w:marTop w:val="0"/>
      <w:marBottom w:val="0"/>
      <w:divBdr>
        <w:top w:val="none" w:sz="0" w:space="0" w:color="auto"/>
        <w:left w:val="none" w:sz="0" w:space="0" w:color="auto"/>
        <w:bottom w:val="none" w:sz="0" w:space="0" w:color="auto"/>
        <w:right w:val="none" w:sz="0" w:space="0" w:color="auto"/>
      </w:divBdr>
    </w:div>
    <w:div w:id="334499094">
      <w:bodyDiv w:val="1"/>
      <w:marLeft w:val="0"/>
      <w:marRight w:val="0"/>
      <w:marTop w:val="0"/>
      <w:marBottom w:val="0"/>
      <w:divBdr>
        <w:top w:val="none" w:sz="0" w:space="0" w:color="auto"/>
        <w:left w:val="none" w:sz="0" w:space="0" w:color="auto"/>
        <w:bottom w:val="none" w:sz="0" w:space="0" w:color="auto"/>
        <w:right w:val="none" w:sz="0" w:space="0" w:color="auto"/>
      </w:divBdr>
    </w:div>
    <w:div w:id="342511749">
      <w:bodyDiv w:val="1"/>
      <w:marLeft w:val="0"/>
      <w:marRight w:val="0"/>
      <w:marTop w:val="0"/>
      <w:marBottom w:val="0"/>
      <w:divBdr>
        <w:top w:val="none" w:sz="0" w:space="0" w:color="auto"/>
        <w:left w:val="none" w:sz="0" w:space="0" w:color="auto"/>
        <w:bottom w:val="none" w:sz="0" w:space="0" w:color="auto"/>
        <w:right w:val="none" w:sz="0" w:space="0" w:color="auto"/>
      </w:divBdr>
    </w:div>
    <w:div w:id="343941406">
      <w:bodyDiv w:val="1"/>
      <w:marLeft w:val="0"/>
      <w:marRight w:val="0"/>
      <w:marTop w:val="0"/>
      <w:marBottom w:val="0"/>
      <w:divBdr>
        <w:top w:val="none" w:sz="0" w:space="0" w:color="auto"/>
        <w:left w:val="none" w:sz="0" w:space="0" w:color="auto"/>
        <w:bottom w:val="none" w:sz="0" w:space="0" w:color="auto"/>
        <w:right w:val="none" w:sz="0" w:space="0" w:color="auto"/>
      </w:divBdr>
    </w:div>
    <w:div w:id="348064017">
      <w:bodyDiv w:val="1"/>
      <w:marLeft w:val="0"/>
      <w:marRight w:val="0"/>
      <w:marTop w:val="0"/>
      <w:marBottom w:val="0"/>
      <w:divBdr>
        <w:top w:val="none" w:sz="0" w:space="0" w:color="auto"/>
        <w:left w:val="none" w:sz="0" w:space="0" w:color="auto"/>
        <w:bottom w:val="none" w:sz="0" w:space="0" w:color="auto"/>
        <w:right w:val="none" w:sz="0" w:space="0" w:color="auto"/>
      </w:divBdr>
    </w:div>
    <w:div w:id="355351911">
      <w:bodyDiv w:val="1"/>
      <w:marLeft w:val="0"/>
      <w:marRight w:val="0"/>
      <w:marTop w:val="0"/>
      <w:marBottom w:val="0"/>
      <w:divBdr>
        <w:top w:val="none" w:sz="0" w:space="0" w:color="auto"/>
        <w:left w:val="none" w:sz="0" w:space="0" w:color="auto"/>
        <w:bottom w:val="none" w:sz="0" w:space="0" w:color="auto"/>
        <w:right w:val="none" w:sz="0" w:space="0" w:color="auto"/>
      </w:divBdr>
      <w:divsChild>
        <w:div w:id="1311710013">
          <w:marLeft w:val="0"/>
          <w:marRight w:val="0"/>
          <w:marTop w:val="0"/>
          <w:marBottom w:val="0"/>
          <w:divBdr>
            <w:top w:val="none" w:sz="0" w:space="0" w:color="auto"/>
            <w:left w:val="none" w:sz="0" w:space="0" w:color="auto"/>
            <w:bottom w:val="none" w:sz="0" w:space="0" w:color="auto"/>
            <w:right w:val="none" w:sz="0" w:space="0" w:color="auto"/>
          </w:divBdr>
          <w:divsChild>
            <w:div w:id="499469993">
              <w:marLeft w:val="0"/>
              <w:marRight w:val="0"/>
              <w:marTop w:val="0"/>
              <w:marBottom w:val="0"/>
              <w:divBdr>
                <w:top w:val="none" w:sz="0" w:space="0" w:color="auto"/>
                <w:left w:val="none" w:sz="0" w:space="0" w:color="auto"/>
                <w:bottom w:val="none" w:sz="0" w:space="0" w:color="auto"/>
                <w:right w:val="none" w:sz="0" w:space="0" w:color="auto"/>
              </w:divBdr>
              <w:divsChild>
                <w:div w:id="1551763184">
                  <w:marLeft w:val="0"/>
                  <w:marRight w:val="0"/>
                  <w:marTop w:val="0"/>
                  <w:marBottom w:val="0"/>
                  <w:divBdr>
                    <w:top w:val="none" w:sz="0" w:space="0" w:color="auto"/>
                    <w:left w:val="none" w:sz="0" w:space="0" w:color="auto"/>
                    <w:bottom w:val="none" w:sz="0" w:space="0" w:color="auto"/>
                    <w:right w:val="none" w:sz="0" w:space="0" w:color="auto"/>
                  </w:divBdr>
                  <w:divsChild>
                    <w:div w:id="379718282">
                      <w:marLeft w:val="0"/>
                      <w:marRight w:val="0"/>
                      <w:marTop w:val="0"/>
                      <w:marBottom w:val="0"/>
                      <w:divBdr>
                        <w:top w:val="none" w:sz="0" w:space="0" w:color="auto"/>
                        <w:left w:val="none" w:sz="0" w:space="0" w:color="auto"/>
                        <w:bottom w:val="none" w:sz="0" w:space="0" w:color="auto"/>
                        <w:right w:val="none" w:sz="0" w:space="0" w:color="auto"/>
                      </w:divBdr>
                      <w:divsChild>
                        <w:div w:id="484443584">
                          <w:marLeft w:val="0"/>
                          <w:marRight w:val="0"/>
                          <w:marTop w:val="0"/>
                          <w:marBottom w:val="0"/>
                          <w:divBdr>
                            <w:top w:val="none" w:sz="0" w:space="0" w:color="auto"/>
                            <w:left w:val="none" w:sz="0" w:space="0" w:color="auto"/>
                            <w:bottom w:val="none" w:sz="0" w:space="0" w:color="auto"/>
                            <w:right w:val="none" w:sz="0" w:space="0" w:color="auto"/>
                          </w:divBdr>
                          <w:divsChild>
                            <w:div w:id="1329673581">
                              <w:marLeft w:val="0"/>
                              <w:marRight w:val="0"/>
                              <w:marTop w:val="0"/>
                              <w:marBottom w:val="0"/>
                              <w:divBdr>
                                <w:top w:val="none" w:sz="0" w:space="0" w:color="auto"/>
                                <w:left w:val="none" w:sz="0" w:space="0" w:color="auto"/>
                                <w:bottom w:val="none" w:sz="0" w:space="0" w:color="auto"/>
                                <w:right w:val="none" w:sz="0" w:space="0" w:color="auto"/>
                              </w:divBdr>
                              <w:divsChild>
                                <w:div w:id="8467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650841">
      <w:bodyDiv w:val="1"/>
      <w:marLeft w:val="0"/>
      <w:marRight w:val="0"/>
      <w:marTop w:val="0"/>
      <w:marBottom w:val="0"/>
      <w:divBdr>
        <w:top w:val="none" w:sz="0" w:space="0" w:color="auto"/>
        <w:left w:val="none" w:sz="0" w:space="0" w:color="auto"/>
        <w:bottom w:val="none" w:sz="0" w:space="0" w:color="auto"/>
        <w:right w:val="none" w:sz="0" w:space="0" w:color="auto"/>
      </w:divBdr>
    </w:div>
    <w:div w:id="370689386">
      <w:bodyDiv w:val="1"/>
      <w:marLeft w:val="0"/>
      <w:marRight w:val="0"/>
      <w:marTop w:val="0"/>
      <w:marBottom w:val="0"/>
      <w:divBdr>
        <w:top w:val="none" w:sz="0" w:space="0" w:color="auto"/>
        <w:left w:val="none" w:sz="0" w:space="0" w:color="auto"/>
        <w:bottom w:val="none" w:sz="0" w:space="0" w:color="auto"/>
        <w:right w:val="none" w:sz="0" w:space="0" w:color="auto"/>
      </w:divBdr>
    </w:div>
    <w:div w:id="372317200">
      <w:bodyDiv w:val="1"/>
      <w:marLeft w:val="0"/>
      <w:marRight w:val="0"/>
      <w:marTop w:val="0"/>
      <w:marBottom w:val="0"/>
      <w:divBdr>
        <w:top w:val="none" w:sz="0" w:space="0" w:color="auto"/>
        <w:left w:val="none" w:sz="0" w:space="0" w:color="auto"/>
        <w:bottom w:val="none" w:sz="0" w:space="0" w:color="auto"/>
        <w:right w:val="none" w:sz="0" w:space="0" w:color="auto"/>
      </w:divBdr>
      <w:divsChild>
        <w:div w:id="1473207933">
          <w:marLeft w:val="0"/>
          <w:marRight w:val="0"/>
          <w:marTop w:val="0"/>
          <w:marBottom w:val="0"/>
          <w:divBdr>
            <w:top w:val="none" w:sz="0" w:space="0" w:color="auto"/>
            <w:left w:val="none" w:sz="0" w:space="0" w:color="auto"/>
            <w:bottom w:val="none" w:sz="0" w:space="0" w:color="auto"/>
            <w:right w:val="none" w:sz="0" w:space="0" w:color="auto"/>
          </w:divBdr>
          <w:divsChild>
            <w:div w:id="1849446942">
              <w:marLeft w:val="3075"/>
              <w:marRight w:val="3000"/>
              <w:marTop w:val="0"/>
              <w:marBottom w:val="0"/>
              <w:divBdr>
                <w:top w:val="none" w:sz="0" w:space="0" w:color="auto"/>
                <w:left w:val="none" w:sz="0" w:space="0" w:color="auto"/>
                <w:bottom w:val="none" w:sz="0" w:space="0" w:color="auto"/>
                <w:right w:val="none" w:sz="0" w:space="0" w:color="auto"/>
              </w:divBdr>
              <w:divsChild>
                <w:div w:id="637035827">
                  <w:marLeft w:val="0"/>
                  <w:marRight w:val="0"/>
                  <w:marTop w:val="0"/>
                  <w:marBottom w:val="0"/>
                  <w:divBdr>
                    <w:top w:val="none" w:sz="0" w:space="0" w:color="auto"/>
                    <w:left w:val="none" w:sz="0" w:space="0" w:color="auto"/>
                    <w:bottom w:val="none" w:sz="0" w:space="0" w:color="auto"/>
                    <w:right w:val="none" w:sz="0" w:space="0" w:color="auto"/>
                  </w:divBdr>
                  <w:divsChild>
                    <w:div w:id="976104479">
                      <w:marLeft w:val="0"/>
                      <w:marRight w:val="0"/>
                      <w:marTop w:val="0"/>
                      <w:marBottom w:val="0"/>
                      <w:divBdr>
                        <w:top w:val="none" w:sz="0" w:space="0" w:color="auto"/>
                        <w:left w:val="none" w:sz="0" w:space="0" w:color="auto"/>
                        <w:bottom w:val="none" w:sz="0" w:space="0" w:color="auto"/>
                        <w:right w:val="none" w:sz="0" w:space="0" w:color="auto"/>
                      </w:divBdr>
                      <w:divsChild>
                        <w:div w:id="359092645">
                          <w:marLeft w:val="0"/>
                          <w:marRight w:val="0"/>
                          <w:marTop w:val="0"/>
                          <w:marBottom w:val="0"/>
                          <w:divBdr>
                            <w:top w:val="none" w:sz="0" w:space="0" w:color="auto"/>
                            <w:left w:val="none" w:sz="0" w:space="0" w:color="auto"/>
                            <w:bottom w:val="none" w:sz="0" w:space="0" w:color="auto"/>
                            <w:right w:val="none" w:sz="0" w:space="0" w:color="auto"/>
                          </w:divBdr>
                          <w:divsChild>
                            <w:div w:id="10956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619912">
      <w:bodyDiv w:val="1"/>
      <w:marLeft w:val="0"/>
      <w:marRight w:val="0"/>
      <w:marTop w:val="0"/>
      <w:marBottom w:val="0"/>
      <w:divBdr>
        <w:top w:val="none" w:sz="0" w:space="0" w:color="auto"/>
        <w:left w:val="none" w:sz="0" w:space="0" w:color="auto"/>
        <w:bottom w:val="none" w:sz="0" w:space="0" w:color="auto"/>
        <w:right w:val="none" w:sz="0" w:space="0" w:color="auto"/>
      </w:divBdr>
    </w:div>
    <w:div w:id="387730291">
      <w:bodyDiv w:val="1"/>
      <w:marLeft w:val="0"/>
      <w:marRight w:val="0"/>
      <w:marTop w:val="0"/>
      <w:marBottom w:val="0"/>
      <w:divBdr>
        <w:top w:val="none" w:sz="0" w:space="0" w:color="auto"/>
        <w:left w:val="none" w:sz="0" w:space="0" w:color="auto"/>
        <w:bottom w:val="none" w:sz="0" w:space="0" w:color="auto"/>
        <w:right w:val="none" w:sz="0" w:space="0" w:color="auto"/>
      </w:divBdr>
    </w:div>
    <w:div w:id="388267574">
      <w:bodyDiv w:val="1"/>
      <w:marLeft w:val="0"/>
      <w:marRight w:val="0"/>
      <w:marTop w:val="0"/>
      <w:marBottom w:val="0"/>
      <w:divBdr>
        <w:top w:val="none" w:sz="0" w:space="0" w:color="auto"/>
        <w:left w:val="none" w:sz="0" w:space="0" w:color="auto"/>
        <w:bottom w:val="none" w:sz="0" w:space="0" w:color="auto"/>
        <w:right w:val="none" w:sz="0" w:space="0" w:color="auto"/>
      </w:divBdr>
    </w:div>
    <w:div w:id="399602477">
      <w:bodyDiv w:val="1"/>
      <w:marLeft w:val="0"/>
      <w:marRight w:val="0"/>
      <w:marTop w:val="0"/>
      <w:marBottom w:val="0"/>
      <w:divBdr>
        <w:top w:val="none" w:sz="0" w:space="0" w:color="auto"/>
        <w:left w:val="none" w:sz="0" w:space="0" w:color="auto"/>
        <w:bottom w:val="none" w:sz="0" w:space="0" w:color="auto"/>
        <w:right w:val="none" w:sz="0" w:space="0" w:color="auto"/>
      </w:divBdr>
    </w:div>
    <w:div w:id="407575157">
      <w:bodyDiv w:val="1"/>
      <w:marLeft w:val="0"/>
      <w:marRight w:val="0"/>
      <w:marTop w:val="0"/>
      <w:marBottom w:val="0"/>
      <w:divBdr>
        <w:top w:val="none" w:sz="0" w:space="0" w:color="auto"/>
        <w:left w:val="none" w:sz="0" w:space="0" w:color="auto"/>
        <w:bottom w:val="none" w:sz="0" w:space="0" w:color="auto"/>
        <w:right w:val="none" w:sz="0" w:space="0" w:color="auto"/>
      </w:divBdr>
      <w:divsChild>
        <w:div w:id="1134719151">
          <w:marLeft w:val="547"/>
          <w:marRight w:val="0"/>
          <w:marTop w:val="72"/>
          <w:marBottom w:val="0"/>
          <w:divBdr>
            <w:top w:val="none" w:sz="0" w:space="0" w:color="auto"/>
            <w:left w:val="none" w:sz="0" w:space="0" w:color="auto"/>
            <w:bottom w:val="none" w:sz="0" w:space="0" w:color="auto"/>
            <w:right w:val="none" w:sz="0" w:space="0" w:color="auto"/>
          </w:divBdr>
        </w:div>
      </w:divsChild>
    </w:div>
    <w:div w:id="415320395">
      <w:bodyDiv w:val="1"/>
      <w:marLeft w:val="0"/>
      <w:marRight w:val="0"/>
      <w:marTop w:val="0"/>
      <w:marBottom w:val="0"/>
      <w:divBdr>
        <w:top w:val="none" w:sz="0" w:space="0" w:color="auto"/>
        <w:left w:val="none" w:sz="0" w:space="0" w:color="auto"/>
        <w:bottom w:val="none" w:sz="0" w:space="0" w:color="auto"/>
        <w:right w:val="none" w:sz="0" w:space="0" w:color="auto"/>
      </w:divBdr>
    </w:div>
    <w:div w:id="428042102">
      <w:bodyDiv w:val="1"/>
      <w:marLeft w:val="0"/>
      <w:marRight w:val="0"/>
      <w:marTop w:val="0"/>
      <w:marBottom w:val="0"/>
      <w:divBdr>
        <w:top w:val="none" w:sz="0" w:space="0" w:color="auto"/>
        <w:left w:val="none" w:sz="0" w:space="0" w:color="auto"/>
        <w:bottom w:val="none" w:sz="0" w:space="0" w:color="auto"/>
        <w:right w:val="none" w:sz="0" w:space="0" w:color="auto"/>
      </w:divBdr>
    </w:div>
    <w:div w:id="429006544">
      <w:bodyDiv w:val="1"/>
      <w:marLeft w:val="0"/>
      <w:marRight w:val="0"/>
      <w:marTop w:val="0"/>
      <w:marBottom w:val="0"/>
      <w:divBdr>
        <w:top w:val="none" w:sz="0" w:space="0" w:color="auto"/>
        <w:left w:val="none" w:sz="0" w:space="0" w:color="auto"/>
        <w:bottom w:val="none" w:sz="0" w:space="0" w:color="auto"/>
        <w:right w:val="none" w:sz="0" w:space="0" w:color="auto"/>
      </w:divBdr>
      <w:divsChild>
        <w:div w:id="513806375">
          <w:marLeft w:val="547"/>
          <w:marRight w:val="0"/>
          <w:marTop w:val="72"/>
          <w:marBottom w:val="0"/>
          <w:divBdr>
            <w:top w:val="none" w:sz="0" w:space="0" w:color="auto"/>
            <w:left w:val="none" w:sz="0" w:space="0" w:color="auto"/>
            <w:bottom w:val="none" w:sz="0" w:space="0" w:color="auto"/>
            <w:right w:val="none" w:sz="0" w:space="0" w:color="auto"/>
          </w:divBdr>
        </w:div>
        <w:div w:id="955676157">
          <w:marLeft w:val="1166"/>
          <w:marRight w:val="0"/>
          <w:marTop w:val="62"/>
          <w:marBottom w:val="0"/>
          <w:divBdr>
            <w:top w:val="none" w:sz="0" w:space="0" w:color="auto"/>
            <w:left w:val="none" w:sz="0" w:space="0" w:color="auto"/>
            <w:bottom w:val="none" w:sz="0" w:space="0" w:color="auto"/>
            <w:right w:val="none" w:sz="0" w:space="0" w:color="auto"/>
          </w:divBdr>
        </w:div>
      </w:divsChild>
    </w:div>
    <w:div w:id="434061219">
      <w:bodyDiv w:val="1"/>
      <w:marLeft w:val="0"/>
      <w:marRight w:val="0"/>
      <w:marTop w:val="0"/>
      <w:marBottom w:val="0"/>
      <w:divBdr>
        <w:top w:val="none" w:sz="0" w:space="0" w:color="auto"/>
        <w:left w:val="none" w:sz="0" w:space="0" w:color="auto"/>
        <w:bottom w:val="none" w:sz="0" w:space="0" w:color="auto"/>
        <w:right w:val="none" w:sz="0" w:space="0" w:color="auto"/>
      </w:divBdr>
    </w:div>
    <w:div w:id="434373464">
      <w:bodyDiv w:val="1"/>
      <w:marLeft w:val="0"/>
      <w:marRight w:val="0"/>
      <w:marTop w:val="0"/>
      <w:marBottom w:val="0"/>
      <w:divBdr>
        <w:top w:val="none" w:sz="0" w:space="0" w:color="auto"/>
        <w:left w:val="none" w:sz="0" w:space="0" w:color="auto"/>
        <w:bottom w:val="none" w:sz="0" w:space="0" w:color="auto"/>
        <w:right w:val="none" w:sz="0" w:space="0" w:color="auto"/>
      </w:divBdr>
    </w:div>
    <w:div w:id="435754363">
      <w:bodyDiv w:val="1"/>
      <w:marLeft w:val="0"/>
      <w:marRight w:val="0"/>
      <w:marTop w:val="0"/>
      <w:marBottom w:val="0"/>
      <w:divBdr>
        <w:top w:val="none" w:sz="0" w:space="0" w:color="auto"/>
        <w:left w:val="none" w:sz="0" w:space="0" w:color="auto"/>
        <w:bottom w:val="none" w:sz="0" w:space="0" w:color="auto"/>
        <w:right w:val="none" w:sz="0" w:space="0" w:color="auto"/>
      </w:divBdr>
    </w:div>
    <w:div w:id="439763296">
      <w:bodyDiv w:val="1"/>
      <w:marLeft w:val="0"/>
      <w:marRight w:val="0"/>
      <w:marTop w:val="0"/>
      <w:marBottom w:val="0"/>
      <w:divBdr>
        <w:top w:val="none" w:sz="0" w:space="0" w:color="auto"/>
        <w:left w:val="none" w:sz="0" w:space="0" w:color="auto"/>
        <w:bottom w:val="none" w:sz="0" w:space="0" w:color="auto"/>
        <w:right w:val="none" w:sz="0" w:space="0" w:color="auto"/>
      </w:divBdr>
    </w:div>
    <w:div w:id="452332064">
      <w:bodyDiv w:val="1"/>
      <w:marLeft w:val="0"/>
      <w:marRight w:val="0"/>
      <w:marTop w:val="0"/>
      <w:marBottom w:val="0"/>
      <w:divBdr>
        <w:top w:val="none" w:sz="0" w:space="0" w:color="auto"/>
        <w:left w:val="none" w:sz="0" w:space="0" w:color="auto"/>
        <w:bottom w:val="none" w:sz="0" w:space="0" w:color="auto"/>
        <w:right w:val="none" w:sz="0" w:space="0" w:color="auto"/>
      </w:divBdr>
      <w:divsChild>
        <w:div w:id="180122285">
          <w:marLeft w:val="547"/>
          <w:marRight w:val="0"/>
          <w:marTop w:val="134"/>
          <w:marBottom w:val="0"/>
          <w:divBdr>
            <w:top w:val="none" w:sz="0" w:space="0" w:color="auto"/>
            <w:left w:val="none" w:sz="0" w:space="0" w:color="auto"/>
            <w:bottom w:val="none" w:sz="0" w:space="0" w:color="auto"/>
            <w:right w:val="none" w:sz="0" w:space="0" w:color="auto"/>
          </w:divBdr>
        </w:div>
        <w:div w:id="266355799">
          <w:marLeft w:val="547"/>
          <w:marRight w:val="0"/>
          <w:marTop w:val="134"/>
          <w:marBottom w:val="0"/>
          <w:divBdr>
            <w:top w:val="none" w:sz="0" w:space="0" w:color="auto"/>
            <w:left w:val="none" w:sz="0" w:space="0" w:color="auto"/>
            <w:bottom w:val="none" w:sz="0" w:space="0" w:color="auto"/>
            <w:right w:val="none" w:sz="0" w:space="0" w:color="auto"/>
          </w:divBdr>
        </w:div>
        <w:div w:id="902834332">
          <w:marLeft w:val="547"/>
          <w:marRight w:val="0"/>
          <w:marTop w:val="134"/>
          <w:marBottom w:val="0"/>
          <w:divBdr>
            <w:top w:val="none" w:sz="0" w:space="0" w:color="auto"/>
            <w:left w:val="none" w:sz="0" w:space="0" w:color="auto"/>
            <w:bottom w:val="none" w:sz="0" w:space="0" w:color="auto"/>
            <w:right w:val="none" w:sz="0" w:space="0" w:color="auto"/>
          </w:divBdr>
        </w:div>
        <w:div w:id="1593053669">
          <w:marLeft w:val="547"/>
          <w:marRight w:val="0"/>
          <w:marTop w:val="134"/>
          <w:marBottom w:val="0"/>
          <w:divBdr>
            <w:top w:val="none" w:sz="0" w:space="0" w:color="auto"/>
            <w:left w:val="none" w:sz="0" w:space="0" w:color="auto"/>
            <w:bottom w:val="none" w:sz="0" w:space="0" w:color="auto"/>
            <w:right w:val="none" w:sz="0" w:space="0" w:color="auto"/>
          </w:divBdr>
        </w:div>
      </w:divsChild>
    </w:div>
    <w:div w:id="463739039">
      <w:bodyDiv w:val="1"/>
      <w:marLeft w:val="0"/>
      <w:marRight w:val="0"/>
      <w:marTop w:val="0"/>
      <w:marBottom w:val="0"/>
      <w:divBdr>
        <w:top w:val="none" w:sz="0" w:space="0" w:color="auto"/>
        <w:left w:val="none" w:sz="0" w:space="0" w:color="auto"/>
        <w:bottom w:val="none" w:sz="0" w:space="0" w:color="auto"/>
        <w:right w:val="none" w:sz="0" w:space="0" w:color="auto"/>
      </w:divBdr>
    </w:div>
    <w:div w:id="479537270">
      <w:bodyDiv w:val="1"/>
      <w:marLeft w:val="0"/>
      <w:marRight w:val="0"/>
      <w:marTop w:val="0"/>
      <w:marBottom w:val="0"/>
      <w:divBdr>
        <w:top w:val="none" w:sz="0" w:space="0" w:color="auto"/>
        <w:left w:val="none" w:sz="0" w:space="0" w:color="auto"/>
        <w:bottom w:val="none" w:sz="0" w:space="0" w:color="auto"/>
        <w:right w:val="none" w:sz="0" w:space="0" w:color="auto"/>
      </w:divBdr>
    </w:div>
    <w:div w:id="480122491">
      <w:bodyDiv w:val="1"/>
      <w:marLeft w:val="0"/>
      <w:marRight w:val="0"/>
      <w:marTop w:val="0"/>
      <w:marBottom w:val="0"/>
      <w:divBdr>
        <w:top w:val="none" w:sz="0" w:space="0" w:color="auto"/>
        <w:left w:val="none" w:sz="0" w:space="0" w:color="auto"/>
        <w:bottom w:val="none" w:sz="0" w:space="0" w:color="auto"/>
        <w:right w:val="none" w:sz="0" w:space="0" w:color="auto"/>
      </w:divBdr>
    </w:div>
    <w:div w:id="495266496">
      <w:bodyDiv w:val="1"/>
      <w:marLeft w:val="0"/>
      <w:marRight w:val="0"/>
      <w:marTop w:val="0"/>
      <w:marBottom w:val="0"/>
      <w:divBdr>
        <w:top w:val="none" w:sz="0" w:space="0" w:color="auto"/>
        <w:left w:val="none" w:sz="0" w:space="0" w:color="auto"/>
        <w:bottom w:val="none" w:sz="0" w:space="0" w:color="auto"/>
        <w:right w:val="none" w:sz="0" w:space="0" w:color="auto"/>
      </w:divBdr>
    </w:div>
    <w:div w:id="498154861">
      <w:bodyDiv w:val="1"/>
      <w:marLeft w:val="27"/>
      <w:marRight w:val="27"/>
      <w:marTop w:val="0"/>
      <w:marBottom w:val="0"/>
      <w:divBdr>
        <w:top w:val="none" w:sz="0" w:space="0" w:color="auto"/>
        <w:left w:val="none" w:sz="0" w:space="0" w:color="auto"/>
        <w:bottom w:val="none" w:sz="0" w:space="0" w:color="auto"/>
        <w:right w:val="none" w:sz="0" w:space="0" w:color="auto"/>
      </w:divBdr>
      <w:divsChild>
        <w:div w:id="1841239249">
          <w:marLeft w:val="0"/>
          <w:marRight w:val="0"/>
          <w:marTop w:val="0"/>
          <w:marBottom w:val="0"/>
          <w:divBdr>
            <w:top w:val="none" w:sz="0" w:space="0" w:color="auto"/>
            <w:left w:val="none" w:sz="0" w:space="0" w:color="auto"/>
            <w:bottom w:val="none" w:sz="0" w:space="0" w:color="auto"/>
            <w:right w:val="none" w:sz="0" w:space="0" w:color="auto"/>
          </w:divBdr>
          <w:divsChild>
            <w:div w:id="1517844491">
              <w:marLeft w:val="0"/>
              <w:marRight w:val="0"/>
              <w:marTop w:val="0"/>
              <w:marBottom w:val="0"/>
              <w:divBdr>
                <w:top w:val="none" w:sz="0" w:space="0" w:color="auto"/>
                <w:left w:val="none" w:sz="0" w:space="0" w:color="auto"/>
                <w:bottom w:val="none" w:sz="0" w:space="0" w:color="auto"/>
                <w:right w:val="none" w:sz="0" w:space="0" w:color="auto"/>
              </w:divBdr>
              <w:divsChild>
                <w:div w:id="954478561">
                  <w:marLeft w:val="163"/>
                  <w:marRight w:val="0"/>
                  <w:marTop w:val="0"/>
                  <w:marBottom w:val="0"/>
                  <w:divBdr>
                    <w:top w:val="none" w:sz="0" w:space="0" w:color="auto"/>
                    <w:left w:val="none" w:sz="0" w:space="0" w:color="auto"/>
                    <w:bottom w:val="none" w:sz="0" w:space="0" w:color="auto"/>
                    <w:right w:val="none" w:sz="0" w:space="0" w:color="auto"/>
                  </w:divBdr>
                  <w:divsChild>
                    <w:div w:id="321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7234">
      <w:bodyDiv w:val="1"/>
      <w:marLeft w:val="0"/>
      <w:marRight w:val="0"/>
      <w:marTop w:val="0"/>
      <w:marBottom w:val="0"/>
      <w:divBdr>
        <w:top w:val="none" w:sz="0" w:space="0" w:color="auto"/>
        <w:left w:val="none" w:sz="0" w:space="0" w:color="auto"/>
        <w:bottom w:val="none" w:sz="0" w:space="0" w:color="auto"/>
        <w:right w:val="none" w:sz="0" w:space="0" w:color="auto"/>
      </w:divBdr>
    </w:div>
    <w:div w:id="508180109">
      <w:bodyDiv w:val="1"/>
      <w:marLeft w:val="0"/>
      <w:marRight w:val="0"/>
      <w:marTop w:val="0"/>
      <w:marBottom w:val="0"/>
      <w:divBdr>
        <w:top w:val="none" w:sz="0" w:space="0" w:color="auto"/>
        <w:left w:val="none" w:sz="0" w:space="0" w:color="auto"/>
        <w:bottom w:val="none" w:sz="0" w:space="0" w:color="auto"/>
        <w:right w:val="none" w:sz="0" w:space="0" w:color="auto"/>
      </w:divBdr>
    </w:div>
    <w:div w:id="518275941">
      <w:bodyDiv w:val="1"/>
      <w:marLeft w:val="0"/>
      <w:marRight w:val="0"/>
      <w:marTop w:val="0"/>
      <w:marBottom w:val="0"/>
      <w:divBdr>
        <w:top w:val="none" w:sz="0" w:space="0" w:color="auto"/>
        <w:left w:val="none" w:sz="0" w:space="0" w:color="auto"/>
        <w:bottom w:val="none" w:sz="0" w:space="0" w:color="auto"/>
        <w:right w:val="none" w:sz="0" w:space="0" w:color="auto"/>
      </w:divBdr>
    </w:div>
    <w:div w:id="527304703">
      <w:bodyDiv w:val="1"/>
      <w:marLeft w:val="0"/>
      <w:marRight w:val="0"/>
      <w:marTop w:val="0"/>
      <w:marBottom w:val="0"/>
      <w:divBdr>
        <w:top w:val="none" w:sz="0" w:space="0" w:color="auto"/>
        <w:left w:val="none" w:sz="0" w:space="0" w:color="auto"/>
        <w:bottom w:val="none" w:sz="0" w:space="0" w:color="auto"/>
        <w:right w:val="none" w:sz="0" w:space="0" w:color="auto"/>
      </w:divBdr>
    </w:div>
    <w:div w:id="530344691">
      <w:bodyDiv w:val="1"/>
      <w:marLeft w:val="0"/>
      <w:marRight w:val="0"/>
      <w:marTop w:val="0"/>
      <w:marBottom w:val="0"/>
      <w:divBdr>
        <w:top w:val="none" w:sz="0" w:space="0" w:color="auto"/>
        <w:left w:val="none" w:sz="0" w:space="0" w:color="auto"/>
        <w:bottom w:val="none" w:sz="0" w:space="0" w:color="auto"/>
        <w:right w:val="none" w:sz="0" w:space="0" w:color="auto"/>
      </w:divBdr>
    </w:div>
    <w:div w:id="535700702">
      <w:bodyDiv w:val="1"/>
      <w:marLeft w:val="0"/>
      <w:marRight w:val="0"/>
      <w:marTop w:val="0"/>
      <w:marBottom w:val="0"/>
      <w:divBdr>
        <w:top w:val="none" w:sz="0" w:space="0" w:color="auto"/>
        <w:left w:val="none" w:sz="0" w:space="0" w:color="auto"/>
        <w:bottom w:val="none" w:sz="0" w:space="0" w:color="auto"/>
        <w:right w:val="none" w:sz="0" w:space="0" w:color="auto"/>
      </w:divBdr>
    </w:div>
    <w:div w:id="535966110">
      <w:bodyDiv w:val="1"/>
      <w:marLeft w:val="27"/>
      <w:marRight w:val="27"/>
      <w:marTop w:val="0"/>
      <w:marBottom w:val="0"/>
      <w:divBdr>
        <w:top w:val="none" w:sz="0" w:space="0" w:color="auto"/>
        <w:left w:val="none" w:sz="0" w:space="0" w:color="auto"/>
        <w:bottom w:val="none" w:sz="0" w:space="0" w:color="auto"/>
        <w:right w:val="none" w:sz="0" w:space="0" w:color="auto"/>
      </w:divBdr>
      <w:divsChild>
        <w:div w:id="486626284">
          <w:marLeft w:val="0"/>
          <w:marRight w:val="0"/>
          <w:marTop w:val="0"/>
          <w:marBottom w:val="0"/>
          <w:divBdr>
            <w:top w:val="none" w:sz="0" w:space="0" w:color="auto"/>
            <w:left w:val="none" w:sz="0" w:space="0" w:color="auto"/>
            <w:bottom w:val="none" w:sz="0" w:space="0" w:color="auto"/>
            <w:right w:val="none" w:sz="0" w:space="0" w:color="auto"/>
          </w:divBdr>
          <w:divsChild>
            <w:div w:id="1222982424">
              <w:marLeft w:val="0"/>
              <w:marRight w:val="0"/>
              <w:marTop w:val="0"/>
              <w:marBottom w:val="0"/>
              <w:divBdr>
                <w:top w:val="none" w:sz="0" w:space="0" w:color="auto"/>
                <w:left w:val="none" w:sz="0" w:space="0" w:color="auto"/>
                <w:bottom w:val="none" w:sz="0" w:space="0" w:color="auto"/>
                <w:right w:val="none" w:sz="0" w:space="0" w:color="auto"/>
              </w:divBdr>
              <w:divsChild>
                <w:div w:id="1964773839">
                  <w:marLeft w:val="163"/>
                  <w:marRight w:val="0"/>
                  <w:marTop w:val="0"/>
                  <w:marBottom w:val="0"/>
                  <w:divBdr>
                    <w:top w:val="none" w:sz="0" w:space="0" w:color="auto"/>
                    <w:left w:val="none" w:sz="0" w:space="0" w:color="auto"/>
                    <w:bottom w:val="none" w:sz="0" w:space="0" w:color="auto"/>
                    <w:right w:val="none" w:sz="0" w:space="0" w:color="auto"/>
                  </w:divBdr>
                  <w:divsChild>
                    <w:div w:id="6574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39606">
      <w:bodyDiv w:val="1"/>
      <w:marLeft w:val="0"/>
      <w:marRight w:val="0"/>
      <w:marTop w:val="0"/>
      <w:marBottom w:val="0"/>
      <w:divBdr>
        <w:top w:val="none" w:sz="0" w:space="0" w:color="auto"/>
        <w:left w:val="none" w:sz="0" w:space="0" w:color="auto"/>
        <w:bottom w:val="none" w:sz="0" w:space="0" w:color="auto"/>
        <w:right w:val="none" w:sz="0" w:space="0" w:color="auto"/>
      </w:divBdr>
    </w:div>
    <w:div w:id="555900995">
      <w:bodyDiv w:val="1"/>
      <w:marLeft w:val="0"/>
      <w:marRight w:val="0"/>
      <w:marTop w:val="0"/>
      <w:marBottom w:val="0"/>
      <w:divBdr>
        <w:top w:val="none" w:sz="0" w:space="0" w:color="auto"/>
        <w:left w:val="none" w:sz="0" w:space="0" w:color="auto"/>
        <w:bottom w:val="none" w:sz="0" w:space="0" w:color="auto"/>
        <w:right w:val="none" w:sz="0" w:space="0" w:color="auto"/>
      </w:divBdr>
    </w:div>
    <w:div w:id="556093831">
      <w:bodyDiv w:val="1"/>
      <w:marLeft w:val="0"/>
      <w:marRight w:val="0"/>
      <w:marTop w:val="0"/>
      <w:marBottom w:val="0"/>
      <w:divBdr>
        <w:top w:val="none" w:sz="0" w:space="0" w:color="auto"/>
        <w:left w:val="none" w:sz="0" w:space="0" w:color="auto"/>
        <w:bottom w:val="none" w:sz="0" w:space="0" w:color="auto"/>
        <w:right w:val="none" w:sz="0" w:space="0" w:color="auto"/>
      </w:divBdr>
      <w:divsChild>
        <w:div w:id="1224953469">
          <w:marLeft w:val="0"/>
          <w:marRight w:val="0"/>
          <w:marTop w:val="0"/>
          <w:marBottom w:val="0"/>
          <w:divBdr>
            <w:top w:val="none" w:sz="0" w:space="0" w:color="auto"/>
            <w:left w:val="none" w:sz="0" w:space="0" w:color="auto"/>
            <w:bottom w:val="none" w:sz="0" w:space="0" w:color="auto"/>
            <w:right w:val="none" w:sz="0" w:space="0" w:color="auto"/>
          </w:divBdr>
          <w:divsChild>
            <w:div w:id="271715998">
              <w:marLeft w:val="0"/>
              <w:marRight w:val="0"/>
              <w:marTop w:val="0"/>
              <w:marBottom w:val="0"/>
              <w:divBdr>
                <w:top w:val="none" w:sz="0" w:space="0" w:color="auto"/>
                <w:left w:val="none" w:sz="0" w:space="0" w:color="auto"/>
                <w:bottom w:val="none" w:sz="0" w:space="0" w:color="auto"/>
                <w:right w:val="none" w:sz="0" w:space="0" w:color="auto"/>
              </w:divBdr>
              <w:divsChild>
                <w:div w:id="421486966">
                  <w:marLeft w:val="0"/>
                  <w:marRight w:val="0"/>
                  <w:marTop w:val="0"/>
                  <w:marBottom w:val="0"/>
                  <w:divBdr>
                    <w:top w:val="none" w:sz="0" w:space="0" w:color="auto"/>
                    <w:left w:val="none" w:sz="0" w:space="0" w:color="auto"/>
                    <w:bottom w:val="none" w:sz="0" w:space="0" w:color="auto"/>
                    <w:right w:val="none" w:sz="0" w:space="0" w:color="auto"/>
                  </w:divBdr>
                  <w:divsChild>
                    <w:div w:id="1986079801">
                      <w:marLeft w:val="0"/>
                      <w:marRight w:val="0"/>
                      <w:marTop w:val="0"/>
                      <w:marBottom w:val="0"/>
                      <w:divBdr>
                        <w:top w:val="none" w:sz="0" w:space="0" w:color="auto"/>
                        <w:left w:val="none" w:sz="0" w:space="0" w:color="auto"/>
                        <w:bottom w:val="none" w:sz="0" w:space="0" w:color="auto"/>
                        <w:right w:val="none" w:sz="0" w:space="0" w:color="auto"/>
                      </w:divBdr>
                      <w:divsChild>
                        <w:div w:id="2028215491">
                          <w:marLeft w:val="0"/>
                          <w:marRight w:val="0"/>
                          <w:marTop w:val="0"/>
                          <w:marBottom w:val="0"/>
                          <w:divBdr>
                            <w:top w:val="none" w:sz="0" w:space="0" w:color="auto"/>
                            <w:left w:val="none" w:sz="0" w:space="0" w:color="auto"/>
                            <w:bottom w:val="none" w:sz="0" w:space="0" w:color="auto"/>
                            <w:right w:val="none" w:sz="0" w:space="0" w:color="auto"/>
                          </w:divBdr>
                          <w:divsChild>
                            <w:div w:id="229314177">
                              <w:marLeft w:val="0"/>
                              <w:marRight w:val="0"/>
                              <w:marTop w:val="0"/>
                              <w:marBottom w:val="0"/>
                              <w:divBdr>
                                <w:top w:val="none" w:sz="0" w:space="0" w:color="auto"/>
                                <w:left w:val="none" w:sz="0" w:space="0" w:color="auto"/>
                                <w:bottom w:val="none" w:sz="0" w:space="0" w:color="auto"/>
                                <w:right w:val="none" w:sz="0" w:space="0" w:color="auto"/>
                              </w:divBdr>
                              <w:divsChild>
                                <w:div w:id="1708986633">
                                  <w:marLeft w:val="0"/>
                                  <w:marRight w:val="0"/>
                                  <w:marTop w:val="0"/>
                                  <w:marBottom w:val="0"/>
                                  <w:divBdr>
                                    <w:top w:val="none" w:sz="0" w:space="0" w:color="auto"/>
                                    <w:left w:val="none" w:sz="0" w:space="0" w:color="auto"/>
                                    <w:bottom w:val="none" w:sz="0" w:space="0" w:color="auto"/>
                                    <w:right w:val="none" w:sz="0" w:space="0" w:color="auto"/>
                                  </w:divBdr>
                                  <w:divsChild>
                                    <w:div w:id="2036618826">
                                      <w:marLeft w:val="0"/>
                                      <w:marRight w:val="0"/>
                                      <w:marTop w:val="0"/>
                                      <w:marBottom w:val="0"/>
                                      <w:divBdr>
                                        <w:top w:val="none" w:sz="0" w:space="0" w:color="auto"/>
                                        <w:left w:val="none" w:sz="0" w:space="0" w:color="auto"/>
                                        <w:bottom w:val="none" w:sz="0" w:space="0" w:color="auto"/>
                                        <w:right w:val="none" w:sz="0" w:space="0" w:color="auto"/>
                                      </w:divBdr>
                                      <w:divsChild>
                                        <w:div w:id="145174424">
                                          <w:marLeft w:val="0"/>
                                          <w:marRight w:val="0"/>
                                          <w:marTop w:val="0"/>
                                          <w:marBottom w:val="0"/>
                                          <w:divBdr>
                                            <w:top w:val="none" w:sz="0" w:space="0" w:color="auto"/>
                                            <w:left w:val="none" w:sz="0" w:space="0" w:color="auto"/>
                                            <w:bottom w:val="none" w:sz="0" w:space="0" w:color="auto"/>
                                            <w:right w:val="none" w:sz="0" w:space="0" w:color="auto"/>
                                          </w:divBdr>
                                        </w:div>
                                        <w:div w:id="810562355">
                                          <w:marLeft w:val="0"/>
                                          <w:marRight w:val="0"/>
                                          <w:marTop w:val="0"/>
                                          <w:marBottom w:val="0"/>
                                          <w:divBdr>
                                            <w:top w:val="none" w:sz="0" w:space="0" w:color="auto"/>
                                            <w:left w:val="none" w:sz="0" w:space="0" w:color="auto"/>
                                            <w:bottom w:val="none" w:sz="0" w:space="0" w:color="auto"/>
                                            <w:right w:val="none" w:sz="0" w:space="0" w:color="auto"/>
                                          </w:divBdr>
                                        </w:div>
                                        <w:div w:id="1051611300">
                                          <w:marLeft w:val="0"/>
                                          <w:marRight w:val="0"/>
                                          <w:marTop w:val="0"/>
                                          <w:marBottom w:val="0"/>
                                          <w:divBdr>
                                            <w:top w:val="none" w:sz="0" w:space="0" w:color="auto"/>
                                            <w:left w:val="none" w:sz="0" w:space="0" w:color="auto"/>
                                            <w:bottom w:val="none" w:sz="0" w:space="0" w:color="auto"/>
                                            <w:right w:val="none" w:sz="0" w:space="0" w:color="auto"/>
                                          </w:divBdr>
                                        </w:div>
                                        <w:div w:id="13233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6769338">
      <w:bodyDiv w:val="1"/>
      <w:marLeft w:val="23"/>
      <w:marRight w:val="23"/>
      <w:marTop w:val="0"/>
      <w:marBottom w:val="0"/>
      <w:divBdr>
        <w:top w:val="none" w:sz="0" w:space="0" w:color="auto"/>
        <w:left w:val="none" w:sz="0" w:space="0" w:color="auto"/>
        <w:bottom w:val="none" w:sz="0" w:space="0" w:color="auto"/>
        <w:right w:val="none" w:sz="0" w:space="0" w:color="auto"/>
      </w:divBdr>
      <w:divsChild>
        <w:div w:id="1570505542">
          <w:marLeft w:val="0"/>
          <w:marRight w:val="0"/>
          <w:marTop w:val="0"/>
          <w:marBottom w:val="0"/>
          <w:divBdr>
            <w:top w:val="none" w:sz="0" w:space="0" w:color="auto"/>
            <w:left w:val="none" w:sz="0" w:space="0" w:color="auto"/>
            <w:bottom w:val="none" w:sz="0" w:space="0" w:color="auto"/>
            <w:right w:val="none" w:sz="0" w:space="0" w:color="auto"/>
          </w:divBdr>
          <w:divsChild>
            <w:div w:id="290984627">
              <w:marLeft w:val="0"/>
              <w:marRight w:val="0"/>
              <w:marTop w:val="0"/>
              <w:marBottom w:val="0"/>
              <w:divBdr>
                <w:top w:val="none" w:sz="0" w:space="0" w:color="auto"/>
                <w:left w:val="none" w:sz="0" w:space="0" w:color="auto"/>
                <w:bottom w:val="none" w:sz="0" w:space="0" w:color="auto"/>
                <w:right w:val="none" w:sz="0" w:space="0" w:color="auto"/>
              </w:divBdr>
              <w:divsChild>
                <w:div w:id="902374456">
                  <w:marLeft w:val="138"/>
                  <w:marRight w:val="0"/>
                  <w:marTop w:val="0"/>
                  <w:marBottom w:val="0"/>
                  <w:divBdr>
                    <w:top w:val="none" w:sz="0" w:space="0" w:color="auto"/>
                    <w:left w:val="none" w:sz="0" w:space="0" w:color="auto"/>
                    <w:bottom w:val="none" w:sz="0" w:space="0" w:color="auto"/>
                    <w:right w:val="none" w:sz="0" w:space="0" w:color="auto"/>
                  </w:divBdr>
                  <w:divsChild>
                    <w:div w:id="19612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23329">
      <w:bodyDiv w:val="1"/>
      <w:marLeft w:val="0"/>
      <w:marRight w:val="0"/>
      <w:marTop w:val="0"/>
      <w:marBottom w:val="0"/>
      <w:divBdr>
        <w:top w:val="none" w:sz="0" w:space="0" w:color="auto"/>
        <w:left w:val="none" w:sz="0" w:space="0" w:color="auto"/>
        <w:bottom w:val="none" w:sz="0" w:space="0" w:color="auto"/>
        <w:right w:val="none" w:sz="0" w:space="0" w:color="auto"/>
      </w:divBdr>
      <w:divsChild>
        <w:div w:id="1465001630">
          <w:marLeft w:val="0"/>
          <w:marRight w:val="0"/>
          <w:marTop w:val="0"/>
          <w:marBottom w:val="0"/>
          <w:divBdr>
            <w:top w:val="none" w:sz="0" w:space="0" w:color="auto"/>
            <w:left w:val="none" w:sz="0" w:space="0" w:color="auto"/>
            <w:bottom w:val="none" w:sz="0" w:space="0" w:color="auto"/>
            <w:right w:val="none" w:sz="0" w:space="0" w:color="auto"/>
          </w:divBdr>
          <w:divsChild>
            <w:div w:id="1588807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0699284">
      <w:bodyDiv w:val="1"/>
      <w:marLeft w:val="0"/>
      <w:marRight w:val="0"/>
      <w:marTop w:val="0"/>
      <w:marBottom w:val="0"/>
      <w:divBdr>
        <w:top w:val="none" w:sz="0" w:space="0" w:color="auto"/>
        <w:left w:val="none" w:sz="0" w:space="0" w:color="auto"/>
        <w:bottom w:val="none" w:sz="0" w:space="0" w:color="auto"/>
        <w:right w:val="none" w:sz="0" w:space="0" w:color="auto"/>
      </w:divBdr>
    </w:div>
    <w:div w:id="574051180">
      <w:bodyDiv w:val="1"/>
      <w:marLeft w:val="0"/>
      <w:marRight w:val="0"/>
      <w:marTop w:val="0"/>
      <w:marBottom w:val="0"/>
      <w:divBdr>
        <w:top w:val="none" w:sz="0" w:space="0" w:color="auto"/>
        <w:left w:val="none" w:sz="0" w:space="0" w:color="auto"/>
        <w:bottom w:val="none" w:sz="0" w:space="0" w:color="auto"/>
        <w:right w:val="none" w:sz="0" w:space="0" w:color="auto"/>
      </w:divBdr>
    </w:div>
    <w:div w:id="602415551">
      <w:bodyDiv w:val="1"/>
      <w:marLeft w:val="0"/>
      <w:marRight w:val="0"/>
      <w:marTop w:val="0"/>
      <w:marBottom w:val="0"/>
      <w:divBdr>
        <w:top w:val="none" w:sz="0" w:space="0" w:color="auto"/>
        <w:left w:val="none" w:sz="0" w:space="0" w:color="auto"/>
        <w:bottom w:val="none" w:sz="0" w:space="0" w:color="auto"/>
        <w:right w:val="none" w:sz="0" w:space="0" w:color="auto"/>
      </w:divBdr>
    </w:div>
    <w:div w:id="602415784">
      <w:bodyDiv w:val="1"/>
      <w:marLeft w:val="37"/>
      <w:marRight w:val="37"/>
      <w:marTop w:val="0"/>
      <w:marBottom w:val="0"/>
      <w:divBdr>
        <w:top w:val="none" w:sz="0" w:space="0" w:color="auto"/>
        <w:left w:val="none" w:sz="0" w:space="0" w:color="auto"/>
        <w:bottom w:val="none" w:sz="0" w:space="0" w:color="auto"/>
        <w:right w:val="none" w:sz="0" w:space="0" w:color="auto"/>
      </w:divBdr>
      <w:divsChild>
        <w:div w:id="209658460">
          <w:marLeft w:val="0"/>
          <w:marRight w:val="0"/>
          <w:marTop w:val="0"/>
          <w:marBottom w:val="0"/>
          <w:divBdr>
            <w:top w:val="none" w:sz="0" w:space="0" w:color="auto"/>
            <w:left w:val="none" w:sz="0" w:space="0" w:color="auto"/>
            <w:bottom w:val="none" w:sz="0" w:space="0" w:color="auto"/>
            <w:right w:val="none" w:sz="0" w:space="0" w:color="auto"/>
          </w:divBdr>
          <w:divsChild>
            <w:div w:id="1106004914">
              <w:marLeft w:val="0"/>
              <w:marRight w:val="0"/>
              <w:marTop w:val="0"/>
              <w:marBottom w:val="0"/>
              <w:divBdr>
                <w:top w:val="none" w:sz="0" w:space="0" w:color="auto"/>
                <w:left w:val="none" w:sz="0" w:space="0" w:color="auto"/>
                <w:bottom w:val="none" w:sz="0" w:space="0" w:color="auto"/>
                <w:right w:val="none" w:sz="0" w:space="0" w:color="auto"/>
              </w:divBdr>
              <w:divsChild>
                <w:div w:id="43647241">
                  <w:marLeft w:val="224"/>
                  <w:marRight w:val="0"/>
                  <w:marTop w:val="0"/>
                  <w:marBottom w:val="0"/>
                  <w:divBdr>
                    <w:top w:val="none" w:sz="0" w:space="0" w:color="auto"/>
                    <w:left w:val="none" w:sz="0" w:space="0" w:color="auto"/>
                    <w:bottom w:val="none" w:sz="0" w:space="0" w:color="auto"/>
                    <w:right w:val="none" w:sz="0" w:space="0" w:color="auto"/>
                  </w:divBdr>
                  <w:divsChild>
                    <w:div w:id="986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92381">
      <w:bodyDiv w:val="1"/>
      <w:marLeft w:val="0"/>
      <w:marRight w:val="0"/>
      <w:marTop w:val="0"/>
      <w:marBottom w:val="0"/>
      <w:divBdr>
        <w:top w:val="none" w:sz="0" w:space="0" w:color="auto"/>
        <w:left w:val="none" w:sz="0" w:space="0" w:color="auto"/>
        <w:bottom w:val="none" w:sz="0" w:space="0" w:color="auto"/>
        <w:right w:val="none" w:sz="0" w:space="0" w:color="auto"/>
      </w:divBdr>
    </w:div>
    <w:div w:id="603538890">
      <w:bodyDiv w:val="1"/>
      <w:marLeft w:val="0"/>
      <w:marRight w:val="0"/>
      <w:marTop w:val="0"/>
      <w:marBottom w:val="0"/>
      <w:divBdr>
        <w:top w:val="none" w:sz="0" w:space="0" w:color="auto"/>
        <w:left w:val="none" w:sz="0" w:space="0" w:color="auto"/>
        <w:bottom w:val="none" w:sz="0" w:space="0" w:color="auto"/>
        <w:right w:val="none" w:sz="0" w:space="0" w:color="auto"/>
      </w:divBdr>
    </w:div>
    <w:div w:id="613295636">
      <w:bodyDiv w:val="1"/>
      <w:marLeft w:val="0"/>
      <w:marRight w:val="0"/>
      <w:marTop w:val="0"/>
      <w:marBottom w:val="0"/>
      <w:divBdr>
        <w:top w:val="none" w:sz="0" w:space="0" w:color="auto"/>
        <w:left w:val="none" w:sz="0" w:space="0" w:color="auto"/>
        <w:bottom w:val="none" w:sz="0" w:space="0" w:color="auto"/>
        <w:right w:val="none" w:sz="0" w:space="0" w:color="auto"/>
      </w:divBdr>
    </w:div>
    <w:div w:id="617759569">
      <w:bodyDiv w:val="1"/>
      <w:marLeft w:val="0"/>
      <w:marRight w:val="0"/>
      <w:marTop w:val="0"/>
      <w:marBottom w:val="0"/>
      <w:divBdr>
        <w:top w:val="none" w:sz="0" w:space="0" w:color="auto"/>
        <w:left w:val="none" w:sz="0" w:space="0" w:color="auto"/>
        <w:bottom w:val="none" w:sz="0" w:space="0" w:color="auto"/>
        <w:right w:val="none" w:sz="0" w:space="0" w:color="auto"/>
      </w:divBdr>
    </w:div>
    <w:div w:id="621419193">
      <w:bodyDiv w:val="1"/>
      <w:marLeft w:val="0"/>
      <w:marRight w:val="0"/>
      <w:marTop w:val="0"/>
      <w:marBottom w:val="0"/>
      <w:divBdr>
        <w:top w:val="none" w:sz="0" w:space="0" w:color="auto"/>
        <w:left w:val="none" w:sz="0" w:space="0" w:color="auto"/>
        <w:bottom w:val="none" w:sz="0" w:space="0" w:color="auto"/>
        <w:right w:val="none" w:sz="0" w:space="0" w:color="auto"/>
      </w:divBdr>
    </w:div>
    <w:div w:id="623922353">
      <w:bodyDiv w:val="1"/>
      <w:marLeft w:val="0"/>
      <w:marRight w:val="0"/>
      <w:marTop w:val="0"/>
      <w:marBottom w:val="0"/>
      <w:divBdr>
        <w:top w:val="none" w:sz="0" w:space="0" w:color="auto"/>
        <w:left w:val="none" w:sz="0" w:space="0" w:color="auto"/>
        <w:bottom w:val="none" w:sz="0" w:space="0" w:color="auto"/>
        <w:right w:val="none" w:sz="0" w:space="0" w:color="auto"/>
      </w:divBdr>
    </w:div>
    <w:div w:id="624040018">
      <w:bodyDiv w:val="1"/>
      <w:marLeft w:val="0"/>
      <w:marRight w:val="0"/>
      <w:marTop w:val="0"/>
      <w:marBottom w:val="0"/>
      <w:divBdr>
        <w:top w:val="none" w:sz="0" w:space="0" w:color="auto"/>
        <w:left w:val="none" w:sz="0" w:space="0" w:color="auto"/>
        <w:bottom w:val="none" w:sz="0" w:space="0" w:color="auto"/>
        <w:right w:val="none" w:sz="0" w:space="0" w:color="auto"/>
      </w:divBdr>
    </w:div>
    <w:div w:id="630021446">
      <w:bodyDiv w:val="1"/>
      <w:marLeft w:val="0"/>
      <w:marRight w:val="0"/>
      <w:marTop w:val="0"/>
      <w:marBottom w:val="0"/>
      <w:divBdr>
        <w:top w:val="none" w:sz="0" w:space="0" w:color="auto"/>
        <w:left w:val="none" w:sz="0" w:space="0" w:color="auto"/>
        <w:bottom w:val="none" w:sz="0" w:space="0" w:color="auto"/>
        <w:right w:val="none" w:sz="0" w:space="0" w:color="auto"/>
      </w:divBdr>
    </w:div>
    <w:div w:id="633559945">
      <w:bodyDiv w:val="1"/>
      <w:marLeft w:val="0"/>
      <w:marRight w:val="0"/>
      <w:marTop w:val="0"/>
      <w:marBottom w:val="0"/>
      <w:divBdr>
        <w:top w:val="none" w:sz="0" w:space="0" w:color="auto"/>
        <w:left w:val="none" w:sz="0" w:space="0" w:color="auto"/>
        <w:bottom w:val="none" w:sz="0" w:space="0" w:color="auto"/>
        <w:right w:val="none" w:sz="0" w:space="0" w:color="auto"/>
      </w:divBdr>
    </w:div>
    <w:div w:id="636491093">
      <w:bodyDiv w:val="1"/>
      <w:marLeft w:val="0"/>
      <w:marRight w:val="0"/>
      <w:marTop w:val="0"/>
      <w:marBottom w:val="0"/>
      <w:divBdr>
        <w:top w:val="none" w:sz="0" w:space="0" w:color="auto"/>
        <w:left w:val="none" w:sz="0" w:space="0" w:color="auto"/>
        <w:bottom w:val="none" w:sz="0" w:space="0" w:color="auto"/>
        <w:right w:val="none" w:sz="0" w:space="0" w:color="auto"/>
      </w:divBdr>
    </w:div>
    <w:div w:id="640305650">
      <w:bodyDiv w:val="1"/>
      <w:marLeft w:val="0"/>
      <w:marRight w:val="0"/>
      <w:marTop w:val="0"/>
      <w:marBottom w:val="0"/>
      <w:divBdr>
        <w:top w:val="none" w:sz="0" w:space="0" w:color="auto"/>
        <w:left w:val="none" w:sz="0" w:space="0" w:color="auto"/>
        <w:bottom w:val="none" w:sz="0" w:space="0" w:color="auto"/>
        <w:right w:val="none" w:sz="0" w:space="0" w:color="auto"/>
      </w:divBdr>
    </w:div>
    <w:div w:id="643892515">
      <w:bodyDiv w:val="1"/>
      <w:marLeft w:val="0"/>
      <w:marRight w:val="0"/>
      <w:marTop w:val="0"/>
      <w:marBottom w:val="0"/>
      <w:divBdr>
        <w:top w:val="none" w:sz="0" w:space="0" w:color="auto"/>
        <w:left w:val="none" w:sz="0" w:space="0" w:color="auto"/>
        <w:bottom w:val="none" w:sz="0" w:space="0" w:color="auto"/>
        <w:right w:val="none" w:sz="0" w:space="0" w:color="auto"/>
      </w:divBdr>
    </w:div>
    <w:div w:id="645551471">
      <w:bodyDiv w:val="1"/>
      <w:marLeft w:val="0"/>
      <w:marRight w:val="0"/>
      <w:marTop w:val="0"/>
      <w:marBottom w:val="0"/>
      <w:divBdr>
        <w:top w:val="none" w:sz="0" w:space="0" w:color="auto"/>
        <w:left w:val="none" w:sz="0" w:space="0" w:color="auto"/>
        <w:bottom w:val="none" w:sz="0" w:space="0" w:color="auto"/>
        <w:right w:val="none" w:sz="0" w:space="0" w:color="auto"/>
      </w:divBdr>
      <w:divsChild>
        <w:div w:id="437874748">
          <w:marLeft w:val="547"/>
          <w:marRight w:val="0"/>
          <w:marTop w:val="134"/>
          <w:marBottom w:val="0"/>
          <w:divBdr>
            <w:top w:val="none" w:sz="0" w:space="0" w:color="auto"/>
            <w:left w:val="none" w:sz="0" w:space="0" w:color="auto"/>
            <w:bottom w:val="none" w:sz="0" w:space="0" w:color="auto"/>
            <w:right w:val="none" w:sz="0" w:space="0" w:color="auto"/>
          </w:divBdr>
        </w:div>
        <w:div w:id="1253978051">
          <w:marLeft w:val="547"/>
          <w:marRight w:val="0"/>
          <w:marTop w:val="134"/>
          <w:marBottom w:val="0"/>
          <w:divBdr>
            <w:top w:val="none" w:sz="0" w:space="0" w:color="auto"/>
            <w:left w:val="none" w:sz="0" w:space="0" w:color="auto"/>
            <w:bottom w:val="none" w:sz="0" w:space="0" w:color="auto"/>
            <w:right w:val="none" w:sz="0" w:space="0" w:color="auto"/>
          </w:divBdr>
        </w:div>
        <w:div w:id="1359117965">
          <w:marLeft w:val="547"/>
          <w:marRight w:val="0"/>
          <w:marTop w:val="134"/>
          <w:marBottom w:val="0"/>
          <w:divBdr>
            <w:top w:val="none" w:sz="0" w:space="0" w:color="auto"/>
            <w:left w:val="none" w:sz="0" w:space="0" w:color="auto"/>
            <w:bottom w:val="none" w:sz="0" w:space="0" w:color="auto"/>
            <w:right w:val="none" w:sz="0" w:space="0" w:color="auto"/>
          </w:divBdr>
        </w:div>
        <w:div w:id="1507400027">
          <w:marLeft w:val="547"/>
          <w:marRight w:val="0"/>
          <w:marTop w:val="134"/>
          <w:marBottom w:val="0"/>
          <w:divBdr>
            <w:top w:val="none" w:sz="0" w:space="0" w:color="auto"/>
            <w:left w:val="none" w:sz="0" w:space="0" w:color="auto"/>
            <w:bottom w:val="none" w:sz="0" w:space="0" w:color="auto"/>
            <w:right w:val="none" w:sz="0" w:space="0" w:color="auto"/>
          </w:divBdr>
        </w:div>
      </w:divsChild>
    </w:div>
    <w:div w:id="650058665">
      <w:bodyDiv w:val="1"/>
      <w:marLeft w:val="0"/>
      <w:marRight w:val="0"/>
      <w:marTop w:val="0"/>
      <w:marBottom w:val="0"/>
      <w:divBdr>
        <w:top w:val="none" w:sz="0" w:space="0" w:color="auto"/>
        <w:left w:val="none" w:sz="0" w:space="0" w:color="auto"/>
        <w:bottom w:val="none" w:sz="0" w:space="0" w:color="auto"/>
        <w:right w:val="none" w:sz="0" w:space="0" w:color="auto"/>
      </w:divBdr>
    </w:div>
    <w:div w:id="651174738">
      <w:bodyDiv w:val="1"/>
      <w:marLeft w:val="0"/>
      <w:marRight w:val="0"/>
      <w:marTop w:val="0"/>
      <w:marBottom w:val="0"/>
      <w:divBdr>
        <w:top w:val="none" w:sz="0" w:space="0" w:color="auto"/>
        <w:left w:val="none" w:sz="0" w:space="0" w:color="auto"/>
        <w:bottom w:val="none" w:sz="0" w:space="0" w:color="auto"/>
        <w:right w:val="none" w:sz="0" w:space="0" w:color="auto"/>
      </w:divBdr>
    </w:div>
    <w:div w:id="654065286">
      <w:bodyDiv w:val="1"/>
      <w:marLeft w:val="0"/>
      <w:marRight w:val="0"/>
      <w:marTop w:val="0"/>
      <w:marBottom w:val="0"/>
      <w:divBdr>
        <w:top w:val="none" w:sz="0" w:space="0" w:color="auto"/>
        <w:left w:val="none" w:sz="0" w:space="0" w:color="auto"/>
        <w:bottom w:val="none" w:sz="0" w:space="0" w:color="auto"/>
        <w:right w:val="none" w:sz="0" w:space="0" w:color="auto"/>
      </w:divBdr>
    </w:div>
    <w:div w:id="655306334">
      <w:bodyDiv w:val="1"/>
      <w:marLeft w:val="0"/>
      <w:marRight w:val="0"/>
      <w:marTop w:val="0"/>
      <w:marBottom w:val="0"/>
      <w:divBdr>
        <w:top w:val="none" w:sz="0" w:space="0" w:color="auto"/>
        <w:left w:val="none" w:sz="0" w:space="0" w:color="auto"/>
        <w:bottom w:val="none" w:sz="0" w:space="0" w:color="auto"/>
        <w:right w:val="none" w:sz="0" w:space="0" w:color="auto"/>
      </w:divBdr>
    </w:div>
    <w:div w:id="679282318">
      <w:bodyDiv w:val="1"/>
      <w:marLeft w:val="0"/>
      <w:marRight w:val="0"/>
      <w:marTop w:val="0"/>
      <w:marBottom w:val="0"/>
      <w:divBdr>
        <w:top w:val="none" w:sz="0" w:space="0" w:color="auto"/>
        <w:left w:val="none" w:sz="0" w:space="0" w:color="auto"/>
        <w:bottom w:val="none" w:sz="0" w:space="0" w:color="auto"/>
        <w:right w:val="none" w:sz="0" w:space="0" w:color="auto"/>
      </w:divBdr>
    </w:div>
    <w:div w:id="679741647">
      <w:bodyDiv w:val="1"/>
      <w:marLeft w:val="0"/>
      <w:marRight w:val="0"/>
      <w:marTop w:val="0"/>
      <w:marBottom w:val="0"/>
      <w:divBdr>
        <w:top w:val="none" w:sz="0" w:space="0" w:color="auto"/>
        <w:left w:val="none" w:sz="0" w:space="0" w:color="auto"/>
        <w:bottom w:val="none" w:sz="0" w:space="0" w:color="auto"/>
        <w:right w:val="none" w:sz="0" w:space="0" w:color="auto"/>
      </w:divBdr>
    </w:div>
    <w:div w:id="692728528">
      <w:bodyDiv w:val="1"/>
      <w:marLeft w:val="0"/>
      <w:marRight w:val="0"/>
      <w:marTop w:val="0"/>
      <w:marBottom w:val="0"/>
      <w:divBdr>
        <w:top w:val="none" w:sz="0" w:space="0" w:color="auto"/>
        <w:left w:val="none" w:sz="0" w:space="0" w:color="auto"/>
        <w:bottom w:val="none" w:sz="0" w:space="0" w:color="auto"/>
        <w:right w:val="none" w:sz="0" w:space="0" w:color="auto"/>
      </w:divBdr>
    </w:div>
    <w:div w:id="697198325">
      <w:bodyDiv w:val="1"/>
      <w:marLeft w:val="0"/>
      <w:marRight w:val="0"/>
      <w:marTop w:val="0"/>
      <w:marBottom w:val="0"/>
      <w:divBdr>
        <w:top w:val="none" w:sz="0" w:space="0" w:color="auto"/>
        <w:left w:val="none" w:sz="0" w:space="0" w:color="auto"/>
        <w:bottom w:val="none" w:sz="0" w:space="0" w:color="auto"/>
        <w:right w:val="none" w:sz="0" w:space="0" w:color="auto"/>
      </w:divBdr>
    </w:div>
    <w:div w:id="698238114">
      <w:bodyDiv w:val="1"/>
      <w:marLeft w:val="0"/>
      <w:marRight w:val="0"/>
      <w:marTop w:val="0"/>
      <w:marBottom w:val="0"/>
      <w:divBdr>
        <w:top w:val="none" w:sz="0" w:space="0" w:color="auto"/>
        <w:left w:val="none" w:sz="0" w:space="0" w:color="auto"/>
        <w:bottom w:val="none" w:sz="0" w:space="0" w:color="auto"/>
        <w:right w:val="none" w:sz="0" w:space="0" w:color="auto"/>
      </w:divBdr>
    </w:div>
    <w:div w:id="714816829">
      <w:bodyDiv w:val="1"/>
      <w:marLeft w:val="0"/>
      <w:marRight w:val="0"/>
      <w:marTop w:val="0"/>
      <w:marBottom w:val="0"/>
      <w:divBdr>
        <w:top w:val="none" w:sz="0" w:space="0" w:color="auto"/>
        <w:left w:val="none" w:sz="0" w:space="0" w:color="auto"/>
        <w:bottom w:val="none" w:sz="0" w:space="0" w:color="auto"/>
        <w:right w:val="none" w:sz="0" w:space="0" w:color="auto"/>
      </w:divBdr>
    </w:div>
    <w:div w:id="716852607">
      <w:bodyDiv w:val="1"/>
      <w:marLeft w:val="0"/>
      <w:marRight w:val="0"/>
      <w:marTop w:val="0"/>
      <w:marBottom w:val="0"/>
      <w:divBdr>
        <w:top w:val="none" w:sz="0" w:space="0" w:color="auto"/>
        <w:left w:val="none" w:sz="0" w:space="0" w:color="auto"/>
        <w:bottom w:val="none" w:sz="0" w:space="0" w:color="auto"/>
        <w:right w:val="none" w:sz="0" w:space="0" w:color="auto"/>
      </w:divBdr>
    </w:div>
    <w:div w:id="724063197">
      <w:bodyDiv w:val="1"/>
      <w:marLeft w:val="0"/>
      <w:marRight w:val="0"/>
      <w:marTop w:val="0"/>
      <w:marBottom w:val="0"/>
      <w:divBdr>
        <w:top w:val="none" w:sz="0" w:space="0" w:color="auto"/>
        <w:left w:val="none" w:sz="0" w:space="0" w:color="auto"/>
        <w:bottom w:val="none" w:sz="0" w:space="0" w:color="auto"/>
        <w:right w:val="none" w:sz="0" w:space="0" w:color="auto"/>
      </w:divBdr>
    </w:div>
    <w:div w:id="729037248">
      <w:bodyDiv w:val="1"/>
      <w:marLeft w:val="0"/>
      <w:marRight w:val="0"/>
      <w:marTop w:val="0"/>
      <w:marBottom w:val="0"/>
      <w:divBdr>
        <w:top w:val="none" w:sz="0" w:space="0" w:color="auto"/>
        <w:left w:val="none" w:sz="0" w:space="0" w:color="auto"/>
        <w:bottom w:val="none" w:sz="0" w:space="0" w:color="auto"/>
        <w:right w:val="none" w:sz="0" w:space="0" w:color="auto"/>
      </w:divBdr>
    </w:div>
    <w:div w:id="729886819">
      <w:bodyDiv w:val="1"/>
      <w:marLeft w:val="0"/>
      <w:marRight w:val="0"/>
      <w:marTop w:val="0"/>
      <w:marBottom w:val="0"/>
      <w:divBdr>
        <w:top w:val="none" w:sz="0" w:space="0" w:color="auto"/>
        <w:left w:val="none" w:sz="0" w:space="0" w:color="auto"/>
        <w:bottom w:val="none" w:sz="0" w:space="0" w:color="auto"/>
        <w:right w:val="none" w:sz="0" w:space="0" w:color="auto"/>
      </w:divBdr>
      <w:divsChild>
        <w:div w:id="1695419471">
          <w:marLeft w:val="0"/>
          <w:marRight w:val="0"/>
          <w:marTop w:val="0"/>
          <w:marBottom w:val="0"/>
          <w:divBdr>
            <w:top w:val="none" w:sz="0" w:space="0" w:color="auto"/>
            <w:left w:val="none" w:sz="0" w:space="0" w:color="auto"/>
            <w:bottom w:val="none" w:sz="0" w:space="0" w:color="auto"/>
            <w:right w:val="none" w:sz="0" w:space="0" w:color="auto"/>
          </w:divBdr>
        </w:div>
      </w:divsChild>
    </w:div>
    <w:div w:id="737090457">
      <w:bodyDiv w:val="1"/>
      <w:marLeft w:val="0"/>
      <w:marRight w:val="0"/>
      <w:marTop w:val="0"/>
      <w:marBottom w:val="0"/>
      <w:divBdr>
        <w:top w:val="none" w:sz="0" w:space="0" w:color="auto"/>
        <w:left w:val="none" w:sz="0" w:space="0" w:color="auto"/>
        <w:bottom w:val="none" w:sz="0" w:space="0" w:color="auto"/>
        <w:right w:val="none" w:sz="0" w:space="0" w:color="auto"/>
      </w:divBdr>
    </w:div>
    <w:div w:id="737632948">
      <w:bodyDiv w:val="1"/>
      <w:marLeft w:val="0"/>
      <w:marRight w:val="0"/>
      <w:marTop w:val="0"/>
      <w:marBottom w:val="0"/>
      <w:divBdr>
        <w:top w:val="none" w:sz="0" w:space="0" w:color="auto"/>
        <w:left w:val="none" w:sz="0" w:space="0" w:color="auto"/>
        <w:bottom w:val="none" w:sz="0" w:space="0" w:color="auto"/>
        <w:right w:val="none" w:sz="0" w:space="0" w:color="auto"/>
      </w:divBdr>
    </w:div>
    <w:div w:id="738788569">
      <w:bodyDiv w:val="1"/>
      <w:marLeft w:val="0"/>
      <w:marRight w:val="0"/>
      <w:marTop w:val="0"/>
      <w:marBottom w:val="0"/>
      <w:divBdr>
        <w:top w:val="none" w:sz="0" w:space="0" w:color="auto"/>
        <w:left w:val="none" w:sz="0" w:space="0" w:color="auto"/>
        <w:bottom w:val="none" w:sz="0" w:space="0" w:color="auto"/>
        <w:right w:val="none" w:sz="0" w:space="0" w:color="auto"/>
      </w:divBdr>
    </w:div>
    <w:div w:id="738865891">
      <w:bodyDiv w:val="1"/>
      <w:marLeft w:val="0"/>
      <w:marRight w:val="0"/>
      <w:marTop w:val="0"/>
      <w:marBottom w:val="0"/>
      <w:divBdr>
        <w:top w:val="none" w:sz="0" w:space="0" w:color="auto"/>
        <w:left w:val="none" w:sz="0" w:space="0" w:color="auto"/>
        <w:bottom w:val="none" w:sz="0" w:space="0" w:color="auto"/>
        <w:right w:val="none" w:sz="0" w:space="0" w:color="auto"/>
      </w:divBdr>
    </w:div>
    <w:div w:id="742530638">
      <w:bodyDiv w:val="1"/>
      <w:marLeft w:val="0"/>
      <w:marRight w:val="0"/>
      <w:marTop w:val="0"/>
      <w:marBottom w:val="0"/>
      <w:divBdr>
        <w:top w:val="none" w:sz="0" w:space="0" w:color="auto"/>
        <w:left w:val="none" w:sz="0" w:space="0" w:color="auto"/>
        <w:bottom w:val="none" w:sz="0" w:space="0" w:color="auto"/>
        <w:right w:val="none" w:sz="0" w:space="0" w:color="auto"/>
      </w:divBdr>
    </w:div>
    <w:div w:id="743339686">
      <w:bodyDiv w:val="1"/>
      <w:marLeft w:val="0"/>
      <w:marRight w:val="0"/>
      <w:marTop w:val="0"/>
      <w:marBottom w:val="0"/>
      <w:divBdr>
        <w:top w:val="none" w:sz="0" w:space="0" w:color="auto"/>
        <w:left w:val="none" w:sz="0" w:space="0" w:color="auto"/>
        <w:bottom w:val="none" w:sz="0" w:space="0" w:color="auto"/>
        <w:right w:val="none" w:sz="0" w:space="0" w:color="auto"/>
      </w:divBdr>
    </w:div>
    <w:div w:id="751975519">
      <w:bodyDiv w:val="1"/>
      <w:marLeft w:val="0"/>
      <w:marRight w:val="0"/>
      <w:marTop w:val="0"/>
      <w:marBottom w:val="0"/>
      <w:divBdr>
        <w:top w:val="none" w:sz="0" w:space="0" w:color="auto"/>
        <w:left w:val="none" w:sz="0" w:space="0" w:color="auto"/>
        <w:bottom w:val="none" w:sz="0" w:space="0" w:color="auto"/>
        <w:right w:val="none" w:sz="0" w:space="0" w:color="auto"/>
      </w:divBdr>
    </w:div>
    <w:div w:id="764768254">
      <w:bodyDiv w:val="1"/>
      <w:marLeft w:val="0"/>
      <w:marRight w:val="0"/>
      <w:marTop w:val="0"/>
      <w:marBottom w:val="0"/>
      <w:divBdr>
        <w:top w:val="none" w:sz="0" w:space="0" w:color="auto"/>
        <w:left w:val="none" w:sz="0" w:space="0" w:color="auto"/>
        <w:bottom w:val="none" w:sz="0" w:space="0" w:color="auto"/>
        <w:right w:val="none" w:sz="0" w:space="0" w:color="auto"/>
      </w:divBdr>
    </w:div>
    <w:div w:id="765157452">
      <w:bodyDiv w:val="1"/>
      <w:marLeft w:val="0"/>
      <w:marRight w:val="0"/>
      <w:marTop w:val="0"/>
      <w:marBottom w:val="0"/>
      <w:divBdr>
        <w:top w:val="none" w:sz="0" w:space="0" w:color="auto"/>
        <w:left w:val="none" w:sz="0" w:space="0" w:color="auto"/>
        <w:bottom w:val="none" w:sz="0" w:space="0" w:color="auto"/>
        <w:right w:val="none" w:sz="0" w:space="0" w:color="auto"/>
      </w:divBdr>
      <w:divsChild>
        <w:div w:id="312494246">
          <w:marLeft w:val="547"/>
          <w:marRight w:val="0"/>
          <w:marTop w:val="72"/>
          <w:marBottom w:val="0"/>
          <w:divBdr>
            <w:top w:val="none" w:sz="0" w:space="0" w:color="auto"/>
            <w:left w:val="none" w:sz="0" w:space="0" w:color="auto"/>
            <w:bottom w:val="none" w:sz="0" w:space="0" w:color="auto"/>
            <w:right w:val="none" w:sz="0" w:space="0" w:color="auto"/>
          </w:divBdr>
        </w:div>
        <w:div w:id="832911399">
          <w:marLeft w:val="1166"/>
          <w:marRight w:val="0"/>
          <w:marTop w:val="62"/>
          <w:marBottom w:val="0"/>
          <w:divBdr>
            <w:top w:val="none" w:sz="0" w:space="0" w:color="auto"/>
            <w:left w:val="none" w:sz="0" w:space="0" w:color="auto"/>
            <w:bottom w:val="none" w:sz="0" w:space="0" w:color="auto"/>
            <w:right w:val="none" w:sz="0" w:space="0" w:color="auto"/>
          </w:divBdr>
        </w:div>
        <w:div w:id="1294097058">
          <w:marLeft w:val="1166"/>
          <w:marRight w:val="0"/>
          <w:marTop w:val="62"/>
          <w:marBottom w:val="0"/>
          <w:divBdr>
            <w:top w:val="none" w:sz="0" w:space="0" w:color="auto"/>
            <w:left w:val="none" w:sz="0" w:space="0" w:color="auto"/>
            <w:bottom w:val="none" w:sz="0" w:space="0" w:color="auto"/>
            <w:right w:val="none" w:sz="0" w:space="0" w:color="auto"/>
          </w:divBdr>
        </w:div>
      </w:divsChild>
    </w:div>
    <w:div w:id="765270502">
      <w:bodyDiv w:val="1"/>
      <w:marLeft w:val="0"/>
      <w:marRight w:val="0"/>
      <w:marTop w:val="0"/>
      <w:marBottom w:val="0"/>
      <w:divBdr>
        <w:top w:val="none" w:sz="0" w:space="0" w:color="auto"/>
        <w:left w:val="none" w:sz="0" w:space="0" w:color="auto"/>
        <w:bottom w:val="none" w:sz="0" w:space="0" w:color="auto"/>
        <w:right w:val="none" w:sz="0" w:space="0" w:color="auto"/>
      </w:divBdr>
    </w:div>
    <w:div w:id="767239338">
      <w:bodyDiv w:val="1"/>
      <w:marLeft w:val="0"/>
      <w:marRight w:val="0"/>
      <w:marTop w:val="0"/>
      <w:marBottom w:val="0"/>
      <w:divBdr>
        <w:top w:val="none" w:sz="0" w:space="0" w:color="auto"/>
        <w:left w:val="none" w:sz="0" w:space="0" w:color="auto"/>
        <w:bottom w:val="none" w:sz="0" w:space="0" w:color="auto"/>
        <w:right w:val="none" w:sz="0" w:space="0" w:color="auto"/>
      </w:divBdr>
    </w:div>
    <w:div w:id="769130812">
      <w:bodyDiv w:val="1"/>
      <w:marLeft w:val="0"/>
      <w:marRight w:val="0"/>
      <w:marTop w:val="0"/>
      <w:marBottom w:val="0"/>
      <w:divBdr>
        <w:top w:val="none" w:sz="0" w:space="0" w:color="auto"/>
        <w:left w:val="none" w:sz="0" w:space="0" w:color="auto"/>
        <w:bottom w:val="none" w:sz="0" w:space="0" w:color="auto"/>
        <w:right w:val="none" w:sz="0" w:space="0" w:color="auto"/>
      </w:divBdr>
    </w:div>
    <w:div w:id="785537987">
      <w:bodyDiv w:val="1"/>
      <w:marLeft w:val="0"/>
      <w:marRight w:val="0"/>
      <w:marTop w:val="0"/>
      <w:marBottom w:val="0"/>
      <w:divBdr>
        <w:top w:val="none" w:sz="0" w:space="0" w:color="auto"/>
        <w:left w:val="none" w:sz="0" w:space="0" w:color="auto"/>
        <w:bottom w:val="none" w:sz="0" w:space="0" w:color="auto"/>
        <w:right w:val="none" w:sz="0" w:space="0" w:color="auto"/>
      </w:divBdr>
    </w:div>
    <w:div w:id="788084168">
      <w:bodyDiv w:val="1"/>
      <w:marLeft w:val="0"/>
      <w:marRight w:val="0"/>
      <w:marTop w:val="0"/>
      <w:marBottom w:val="0"/>
      <w:divBdr>
        <w:top w:val="none" w:sz="0" w:space="0" w:color="auto"/>
        <w:left w:val="none" w:sz="0" w:space="0" w:color="auto"/>
        <w:bottom w:val="none" w:sz="0" w:space="0" w:color="auto"/>
        <w:right w:val="none" w:sz="0" w:space="0" w:color="auto"/>
      </w:divBdr>
    </w:div>
    <w:div w:id="794449865">
      <w:bodyDiv w:val="1"/>
      <w:marLeft w:val="0"/>
      <w:marRight w:val="0"/>
      <w:marTop w:val="0"/>
      <w:marBottom w:val="0"/>
      <w:divBdr>
        <w:top w:val="none" w:sz="0" w:space="0" w:color="auto"/>
        <w:left w:val="none" w:sz="0" w:space="0" w:color="auto"/>
        <w:bottom w:val="none" w:sz="0" w:space="0" w:color="auto"/>
        <w:right w:val="none" w:sz="0" w:space="0" w:color="auto"/>
      </w:divBdr>
    </w:div>
    <w:div w:id="798425255">
      <w:bodyDiv w:val="1"/>
      <w:marLeft w:val="0"/>
      <w:marRight w:val="0"/>
      <w:marTop w:val="0"/>
      <w:marBottom w:val="0"/>
      <w:divBdr>
        <w:top w:val="none" w:sz="0" w:space="0" w:color="auto"/>
        <w:left w:val="none" w:sz="0" w:space="0" w:color="auto"/>
        <w:bottom w:val="none" w:sz="0" w:space="0" w:color="auto"/>
        <w:right w:val="none" w:sz="0" w:space="0" w:color="auto"/>
      </w:divBdr>
    </w:div>
    <w:div w:id="799809308">
      <w:bodyDiv w:val="1"/>
      <w:marLeft w:val="0"/>
      <w:marRight w:val="0"/>
      <w:marTop w:val="0"/>
      <w:marBottom w:val="0"/>
      <w:divBdr>
        <w:top w:val="none" w:sz="0" w:space="0" w:color="auto"/>
        <w:left w:val="none" w:sz="0" w:space="0" w:color="auto"/>
        <w:bottom w:val="none" w:sz="0" w:space="0" w:color="auto"/>
        <w:right w:val="none" w:sz="0" w:space="0" w:color="auto"/>
      </w:divBdr>
    </w:div>
    <w:div w:id="803545063">
      <w:bodyDiv w:val="1"/>
      <w:marLeft w:val="0"/>
      <w:marRight w:val="0"/>
      <w:marTop w:val="0"/>
      <w:marBottom w:val="0"/>
      <w:divBdr>
        <w:top w:val="none" w:sz="0" w:space="0" w:color="auto"/>
        <w:left w:val="none" w:sz="0" w:space="0" w:color="auto"/>
        <w:bottom w:val="none" w:sz="0" w:space="0" w:color="auto"/>
        <w:right w:val="none" w:sz="0" w:space="0" w:color="auto"/>
      </w:divBdr>
    </w:div>
    <w:div w:id="805272051">
      <w:bodyDiv w:val="1"/>
      <w:marLeft w:val="0"/>
      <w:marRight w:val="0"/>
      <w:marTop w:val="0"/>
      <w:marBottom w:val="0"/>
      <w:divBdr>
        <w:top w:val="none" w:sz="0" w:space="0" w:color="auto"/>
        <w:left w:val="none" w:sz="0" w:space="0" w:color="auto"/>
        <w:bottom w:val="none" w:sz="0" w:space="0" w:color="auto"/>
        <w:right w:val="none" w:sz="0" w:space="0" w:color="auto"/>
      </w:divBdr>
    </w:div>
    <w:div w:id="806119793">
      <w:bodyDiv w:val="1"/>
      <w:marLeft w:val="0"/>
      <w:marRight w:val="0"/>
      <w:marTop w:val="0"/>
      <w:marBottom w:val="0"/>
      <w:divBdr>
        <w:top w:val="none" w:sz="0" w:space="0" w:color="auto"/>
        <w:left w:val="none" w:sz="0" w:space="0" w:color="auto"/>
        <w:bottom w:val="none" w:sz="0" w:space="0" w:color="auto"/>
        <w:right w:val="none" w:sz="0" w:space="0" w:color="auto"/>
      </w:divBdr>
    </w:div>
    <w:div w:id="808669787">
      <w:bodyDiv w:val="1"/>
      <w:marLeft w:val="0"/>
      <w:marRight w:val="0"/>
      <w:marTop w:val="0"/>
      <w:marBottom w:val="0"/>
      <w:divBdr>
        <w:top w:val="none" w:sz="0" w:space="0" w:color="auto"/>
        <w:left w:val="none" w:sz="0" w:space="0" w:color="auto"/>
        <w:bottom w:val="none" w:sz="0" w:space="0" w:color="auto"/>
        <w:right w:val="none" w:sz="0" w:space="0" w:color="auto"/>
      </w:divBdr>
      <w:divsChild>
        <w:div w:id="875695395">
          <w:marLeft w:val="547"/>
          <w:marRight w:val="0"/>
          <w:marTop w:val="134"/>
          <w:marBottom w:val="0"/>
          <w:divBdr>
            <w:top w:val="none" w:sz="0" w:space="0" w:color="auto"/>
            <w:left w:val="none" w:sz="0" w:space="0" w:color="auto"/>
            <w:bottom w:val="none" w:sz="0" w:space="0" w:color="auto"/>
            <w:right w:val="none" w:sz="0" w:space="0" w:color="auto"/>
          </w:divBdr>
        </w:div>
        <w:div w:id="1421219367">
          <w:marLeft w:val="547"/>
          <w:marRight w:val="0"/>
          <w:marTop w:val="134"/>
          <w:marBottom w:val="0"/>
          <w:divBdr>
            <w:top w:val="none" w:sz="0" w:space="0" w:color="auto"/>
            <w:left w:val="none" w:sz="0" w:space="0" w:color="auto"/>
            <w:bottom w:val="none" w:sz="0" w:space="0" w:color="auto"/>
            <w:right w:val="none" w:sz="0" w:space="0" w:color="auto"/>
          </w:divBdr>
        </w:div>
        <w:div w:id="1568765157">
          <w:marLeft w:val="547"/>
          <w:marRight w:val="0"/>
          <w:marTop w:val="134"/>
          <w:marBottom w:val="0"/>
          <w:divBdr>
            <w:top w:val="none" w:sz="0" w:space="0" w:color="auto"/>
            <w:left w:val="none" w:sz="0" w:space="0" w:color="auto"/>
            <w:bottom w:val="none" w:sz="0" w:space="0" w:color="auto"/>
            <w:right w:val="none" w:sz="0" w:space="0" w:color="auto"/>
          </w:divBdr>
        </w:div>
        <w:div w:id="2004696189">
          <w:marLeft w:val="547"/>
          <w:marRight w:val="0"/>
          <w:marTop w:val="134"/>
          <w:marBottom w:val="0"/>
          <w:divBdr>
            <w:top w:val="none" w:sz="0" w:space="0" w:color="auto"/>
            <w:left w:val="none" w:sz="0" w:space="0" w:color="auto"/>
            <w:bottom w:val="none" w:sz="0" w:space="0" w:color="auto"/>
            <w:right w:val="none" w:sz="0" w:space="0" w:color="auto"/>
          </w:divBdr>
        </w:div>
      </w:divsChild>
    </w:div>
    <w:div w:id="824665270">
      <w:bodyDiv w:val="1"/>
      <w:marLeft w:val="0"/>
      <w:marRight w:val="0"/>
      <w:marTop w:val="0"/>
      <w:marBottom w:val="0"/>
      <w:divBdr>
        <w:top w:val="none" w:sz="0" w:space="0" w:color="auto"/>
        <w:left w:val="none" w:sz="0" w:space="0" w:color="auto"/>
        <w:bottom w:val="none" w:sz="0" w:space="0" w:color="auto"/>
        <w:right w:val="none" w:sz="0" w:space="0" w:color="auto"/>
      </w:divBdr>
    </w:div>
    <w:div w:id="824978586">
      <w:bodyDiv w:val="1"/>
      <w:marLeft w:val="0"/>
      <w:marRight w:val="0"/>
      <w:marTop w:val="0"/>
      <w:marBottom w:val="0"/>
      <w:divBdr>
        <w:top w:val="none" w:sz="0" w:space="0" w:color="auto"/>
        <w:left w:val="none" w:sz="0" w:space="0" w:color="auto"/>
        <w:bottom w:val="none" w:sz="0" w:space="0" w:color="auto"/>
        <w:right w:val="none" w:sz="0" w:space="0" w:color="auto"/>
      </w:divBdr>
    </w:div>
    <w:div w:id="829057311">
      <w:bodyDiv w:val="1"/>
      <w:marLeft w:val="0"/>
      <w:marRight w:val="0"/>
      <w:marTop w:val="0"/>
      <w:marBottom w:val="0"/>
      <w:divBdr>
        <w:top w:val="none" w:sz="0" w:space="0" w:color="auto"/>
        <w:left w:val="none" w:sz="0" w:space="0" w:color="auto"/>
        <w:bottom w:val="none" w:sz="0" w:space="0" w:color="auto"/>
        <w:right w:val="none" w:sz="0" w:space="0" w:color="auto"/>
      </w:divBdr>
    </w:div>
    <w:div w:id="831219979">
      <w:bodyDiv w:val="1"/>
      <w:marLeft w:val="0"/>
      <w:marRight w:val="0"/>
      <w:marTop w:val="0"/>
      <w:marBottom w:val="0"/>
      <w:divBdr>
        <w:top w:val="none" w:sz="0" w:space="0" w:color="auto"/>
        <w:left w:val="none" w:sz="0" w:space="0" w:color="auto"/>
        <w:bottom w:val="none" w:sz="0" w:space="0" w:color="auto"/>
        <w:right w:val="none" w:sz="0" w:space="0" w:color="auto"/>
      </w:divBdr>
    </w:div>
    <w:div w:id="843595016">
      <w:bodyDiv w:val="1"/>
      <w:marLeft w:val="0"/>
      <w:marRight w:val="0"/>
      <w:marTop w:val="0"/>
      <w:marBottom w:val="0"/>
      <w:divBdr>
        <w:top w:val="none" w:sz="0" w:space="0" w:color="auto"/>
        <w:left w:val="none" w:sz="0" w:space="0" w:color="auto"/>
        <w:bottom w:val="none" w:sz="0" w:space="0" w:color="auto"/>
        <w:right w:val="none" w:sz="0" w:space="0" w:color="auto"/>
      </w:divBdr>
    </w:div>
    <w:div w:id="854267744">
      <w:bodyDiv w:val="1"/>
      <w:marLeft w:val="0"/>
      <w:marRight w:val="0"/>
      <w:marTop w:val="0"/>
      <w:marBottom w:val="0"/>
      <w:divBdr>
        <w:top w:val="none" w:sz="0" w:space="0" w:color="auto"/>
        <w:left w:val="none" w:sz="0" w:space="0" w:color="auto"/>
        <w:bottom w:val="none" w:sz="0" w:space="0" w:color="auto"/>
        <w:right w:val="none" w:sz="0" w:space="0" w:color="auto"/>
      </w:divBdr>
    </w:div>
    <w:div w:id="861671511">
      <w:bodyDiv w:val="1"/>
      <w:marLeft w:val="0"/>
      <w:marRight w:val="0"/>
      <w:marTop w:val="0"/>
      <w:marBottom w:val="0"/>
      <w:divBdr>
        <w:top w:val="none" w:sz="0" w:space="0" w:color="auto"/>
        <w:left w:val="none" w:sz="0" w:space="0" w:color="auto"/>
        <w:bottom w:val="none" w:sz="0" w:space="0" w:color="auto"/>
        <w:right w:val="none" w:sz="0" w:space="0" w:color="auto"/>
      </w:divBdr>
      <w:divsChild>
        <w:div w:id="46609343">
          <w:marLeft w:val="1166"/>
          <w:marRight w:val="0"/>
          <w:marTop w:val="62"/>
          <w:marBottom w:val="0"/>
          <w:divBdr>
            <w:top w:val="none" w:sz="0" w:space="0" w:color="auto"/>
            <w:left w:val="none" w:sz="0" w:space="0" w:color="auto"/>
            <w:bottom w:val="none" w:sz="0" w:space="0" w:color="auto"/>
            <w:right w:val="none" w:sz="0" w:space="0" w:color="auto"/>
          </w:divBdr>
        </w:div>
      </w:divsChild>
    </w:div>
    <w:div w:id="864632003">
      <w:bodyDiv w:val="1"/>
      <w:marLeft w:val="0"/>
      <w:marRight w:val="0"/>
      <w:marTop w:val="0"/>
      <w:marBottom w:val="0"/>
      <w:divBdr>
        <w:top w:val="none" w:sz="0" w:space="0" w:color="auto"/>
        <w:left w:val="none" w:sz="0" w:space="0" w:color="auto"/>
        <w:bottom w:val="none" w:sz="0" w:space="0" w:color="auto"/>
        <w:right w:val="none" w:sz="0" w:space="0" w:color="auto"/>
      </w:divBdr>
    </w:div>
    <w:div w:id="877283221">
      <w:bodyDiv w:val="1"/>
      <w:marLeft w:val="0"/>
      <w:marRight w:val="0"/>
      <w:marTop w:val="0"/>
      <w:marBottom w:val="0"/>
      <w:divBdr>
        <w:top w:val="none" w:sz="0" w:space="0" w:color="auto"/>
        <w:left w:val="none" w:sz="0" w:space="0" w:color="auto"/>
        <w:bottom w:val="none" w:sz="0" w:space="0" w:color="auto"/>
        <w:right w:val="none" w:sz="0" w:space="0" w:color="auto"/>
      </w:divBdr>
    </w:div>
    <w:div w:id="881677779">
      <w:bodyDiv w:val="1"/>
      <w:marLeft w:val="0"/>
      <w:marRight w:val="0"/>
      <w:marTop w:val="0"/>
      <w:marBottom w:val="0"/>
      <w:divBdr>
        <w:top w:val="none" w:sz="0" w:space="0" w:color="auto"/>
        <w:left w:val="none" w:sz="0" w:space="0" w:color="auto"/>
        <w:bottom w:val="none" w:sz="0" w:space="0" w:color="auto"/>
        <w:right w:val="none" w:sz="0" w:space="0" w:color="auto"/>
      </w:divBdr>
    </w:div>
    <w:div w:id="885722785">
      <w:bodyDiv w:val="1"/>
      <w:marLeft w:val="0"/>
      <w:marRight w:val="0"/>
      <w:marTop w:val="0"/>
      <w:marBottom w:val="0"/>
      <w:divBdr>
        <w:top w:val="none" w:sz="0" w:space="0" w:color="auto"/>
        <w:left w:val="none" w:sz="0" w:space="0" w:color="auto"/>
        <w:bottom w:val="none" w:sz="0" w:space="0" w:color="auto"/>
        <w:right w:val="none" w:sz="0" w:space="0" w:color="auto"/>
      </w:divBdr>
    </w:div>
    <w:div w:id="888230156">
      <w:bodyDiv w:val="1"/>
      <w:marLeft w:val="0"/>
      <w:marRight w:val="0"/>
      <w:marTop w:val="0"/>
      <w:marBottom w:val="0"/>
      <w:divBdr>
        <w:top w:val="none" w:sz="0" w:space="0" w:color="auto"/>
        <w:left w:val="none" w:sz="0" w:space="0" w:color="auto"/>
        <w:bottom w:val="none" w:sz="0" w:space="0" w:color="auto"/>
        <w:right w:val="none" w:sz="0" w:space="0" w:color="auto"/>
      </w:divBdr>
    </w:div>
    <w:div w:id="901478997">
      <w:bodyDiv w:val="1"/>
      <w:marLeft w:val="0"/>
      <w:marRight w:val="0"/>
      <w:marTop w:val="0"/>
      <w:marBottom w:val="0"/>
      <w:divBdr>
        <w:top w:val="none" w:sz="0" w:space="0" w:color="auto"/>
        <w:left w:val="none" w:sz="0" w:space="0" w:color="auto"/>
        <w:bottom w:val="none" w:sz="0" w:space="0" w:color="auto"/>
        <w:right w:val="none" w:sz="0" w:space="0" w:color="auto"/>
      </w:divBdr>
    </w:div>
    <w:div w:id="904610021">
      <w:bodyDiv w:val="1"/>
      <w:marLeft w:val="0"/>
      <w:marRight w:val="0"/>
      <w:marTop w:val="0"/>
      <w:marBottom w:val="0"/>
      <w:divBdr>
        <w:top w:val="none" w:sz="0" w:space="0" w:color="auto"/>
        <w:left w:val="none" w:sz="0" w:space="0" w:color="auto"/>
        <w:bottom w:val="none" w:sz="0" w:space="0" w:color="auto"/>
        <w:right w:val="none" w:sz="0" w:space="0" w:color="auto"/>
      </w:divBdr>
    </w:div>
    <w:div w:id="905065853">
      <w:bodyDiv w:val="1"/>
      <w:marLeft w:val="0"/>
      <w:marRight w:val="0"/>
      <w:marTop w:val="0"/>
      <w:marBottom w:val="0"/>
      <w:divBdr>
        <w:top w:val="none" w:sz="0" w:space="0" w:color="auto"/>
        <w:left w:val="none" w:sz="0" w:space="0" w:color="auto"/>
        <w:bottom w:val="none" w:sz="0" w:space="0" w:color="auto"/>
        <w:right w:val="none" w:sz="0" w:space="0" w:color="auto"/>
      </w:divBdr>
    </w:div>
    <w:div w:id="907346945">
      <w:bodyDiv w:val="1"/>
      <w:marLeft w:val="0"/>
      <w:marRight w:val="0"/>
      <w:marTop w:val="0"/>
      <w:marBottom w:val="0"/>
      <w:divBdr>
        <w:top w:val="none" w:sz="0" w:space="0" w:color="auto"/>
        <w:left w:val="none" w:sz="0" w:space="0" w:color="auto"/>
        <w:bottom w:val="none" w:sz="0" w:space="0" w:color="auto"/>
        <w:right w:val="none" w:sz="0" w:space="0" w:color="auto"/>
      </w:divBdr>
    </w:div>
    <w:div w:id="923949436">
      <w:bodyDiv w:val="1"/>
      <w:marLeft w:val="0"/>
      <w:marRight w:val="0"/>
      <w:marTop w:val="0"/>
      <w:marBottom w:val="0"/>
      <w:divBdr>
        <w:top w:val="none" w:sz="0" w:space="0" w:color="auto"/>
        <w:left w:val="none" w:sz="0" w:space="0" w:color="auto"/>
        <w:bottom w:val="none" w:sz="0" w:space="0" w:color="auto"/>
        <w:right w:val="none" w:sz="0" w:space="0" w:color="auto"/>
      </w:divBdr>
    </w:div>
    <w:div w:id="927352788">
      <w:bodyDiv w:val="1"/>
      <w:marLeft w:val="0"/>
      <w:marRight w:val="0"/>
      <w:marTop w:val="0"/>
      <w:marBottom w:val="0"/>
      <w:divBdr>
        <w:top w:val="none" w:sz="0" w:space="0" w:color="auto"/>
        <w:left w:val="none" w:sz="0" w:space="0" w:color="auto"/>
        <w:bottom w:val="none" w:sz="0" w:space="0" w:color="auto"/>
        <w:right w:val="none" w:sz="0" w:space="0" w:color="auto"/>
      </w:divBdr>
    </w:div>
    <w:div w:id="927814205">
      <w:bodyDiv w:val="1"/>
      <w:marLeft w:val="0"/>
      <w:marRight w:val="0"/>
      <w:marTop w:val="0"/>
      <w:marBottom w:val="0"/>
      <w:divBdr>
        <w:top w:val="none" w:sz="0" w:space="0" w:color="auto"/>
        <w:left w:val="none" w:sz="0" w:space="0" w:color="auto"/>
        <w:bottom w:val="none" w:sz="0" w:space="0" w:color="auto"/>
        <w:right w:val="none" w:sz="0" w:space="0" w:color="auto"/>
      </w:divBdr>
    </w:div>
    <w:div w:id="928152405">
      <w:bodyDiv w:val="1"/>
      <w:marLeft w:val="0"/>
      <w:marRight w:val="0"/>
      <w:marTop w:val="0"/>
      <w:marBottom w:val="0"/>
      <w:divBdr>
        <w:top w:val="none" w:sz="0" w:space="0" w:color="auto"/>
        <w:left w:val="none" w:sz="0" w:space="0" w:color="auto"/>
        <w:bottom w:val="none" w:sz="0" w:space="0" w:color="auto"/>
        <w:right w:val="none" w:sz="0" w:space="0" w:color="auto"/>
      </w:divBdr>
    </w:div>
    <w:div w:id="940071426">
      <w:bodyDiv w:val="1"/>
      <w:marLeft w:val="0"/>
      <w:marRight w:val="0"/>
      <w:marTop w:val="0"/>
      <w:marBottom w:val="0"/>
      <w:divBdr>
        <w:top w:val="none" w:sz="0" w:space="0" w:color="auto"/>
        <w:left w:val="none" w:sz="0" w:space="0" w:color="auto"/>
        <w:bottom w:val="none" w:sz="0" w:space="0" w:color="auto"/>
        <w:right w:val="none" w:sz="0" w:space="0" w:color="auto"/>
      </w:divBdr>
    </w:div>
    <w:div w:id="943001034">
      <w:bodyDiv w:val="1"/>
      <w:marLeft w:val="0"/>
      <w:marRight w:val="0"/>
      <w:marTop w:val="0"/>
      <w:marBottom w:val="0"/>
      <w:divBdr>
        <w:top w:val="none" w:sz="0" w:space="0" w:color="auto"/>
        <w:left w:val="none" w:sz="0" w:space="0" w:color="auto"/>
        <w:bottom w:val="none" w:sz="0" w:space="0" w:color="auto"/>
        <w:right w:val="none" w:sz="0" w:space="0" w:color="auto"/>
      </w:divBdr>
    </w:div>
    <w:div w:id="943878538">
      <w:bodyDiv w:val="1"/>
      <w:marLeft w:val="0"/>
      <w:marRight w:val="0"/>
      <w:marTop w:val="0"/>
      <w:marBottom w:val="0"/>
      <w:divBdr>
        <w:top w:val="none" w:sz="0" w:space="0" w:color="auto"/>
        <w:left w:val="none" w:sz="0" w:space="0" w:color="auto"/>
        <w:bottom w:val="none" w:sz="0" w:space="0" w:color="auto"/>
        <w:right w:val="none" w:sz="0" w:space="0" w:color="auto"/>
      </w:divBdr>
    </w:div>
    <w:div w:id="950018843">
      <w:bodyDiv w:val="1"/>
      <w:marLeft w:val="0"/>
      <w:marRight w:val="0"/>
      <w:marTop w:val="0"/>
      <w:marBottom w:val="0"/>
      <w:divBdr>
        <w:top w:val="none" w:sz="0" w:space="0" w:color="auto"/>
        <w:left w:val="none" w:sz="0" w:space="0" w:color="auto"/>
        <w:bottom w:val="none" w:sz="0" w:space="0" w:color="auto"/>
        <w:right w:val="none" w:sz="0" w:space="0" w:color="auto"/>
      </w:divBdr>
    </w:div>
    <w:div w:id="950474334">
      <w:bodyDiv w:val="1"/>
      <w:marLeft w:val="0"/>
      <w:marRight w:val="0"/>
      <w:marTop w:val="0"/>
      <w:marBottom w:val="0"/>
      <w:divBdr>
        <w:top w:val="none" w:sz="0" w:space="0" w:color="auto"/>
        <w:left w:val="none" w:sz="0" w:space="0" w:color="auto"/>
        <w:bottom w:val="none" w:sz="0" w:space="0" w:color="auto"/>
        <w:right w:val="none" w:sz="0" w:space="0" w:color="auto"/>
      </w:divBdr>
      <w:divsChild>
        <w:div w:id="229922433">
          <w:marLeft w:val="1800"/>
          <w:marRight w:val="0"/>
          <w:marTop w:val="91"/>
          <w:marBottom w:val="0"/>
          <w:divBdr>
            <w:top w:val="none" w:sz="0" w:space="0" w:color="auto"/>
            <w:left w:val="none" w:sz="0" w:space="0" w:color="auto"/>
            <w:bottom w:val="none" w:sz="0" w:space="0" w:color="auto"/>
            <w:right w:val="none" w:sz="0" w:space="0" w:color="auto"/>
          </w:divBdr>
        </w:div>
        <w:div w:id="462114721">
          <w:marLeft w:val="547"/>
          <w:marRight w:val="0"/>
          <w:marTop w:val="125"/>
          <w:marBottom w:val="0"/>
          <w:divBdr>
            <w:top w:val="none" w:sz="0" w:space="0" w:color="auto"/>
            <w:left w:val="none" w:sz="0" w:space="0" w:color="auto"/>
            <w:bottom w:val="none" w:sz="0" w:space="0" w:color="auto"/>
            <w:right w:val="none" w:sz="0" w:space="0" w:color="auto"/>
          </w:divBdr>
        </w:div>
        <w:div w:id="606739548">
          <w:marLeft w:val="1166"/>
          <w:marRight w:val="0"/>
          <w:marTop w:val="106"/>
          <w:marBottom w:val="0"/>
          <w:divBdr>
            <w:top w:val="none" w:sz="0" w:space="0" w:color="auto"/>
            <w:left w:val="none" w:sz="0" w:space="0" w:color="auto"/>
            <w:bottom w:val="none" w:sz="0" w:space="0" w:color="auto"/>
            <w:right w:val="none" w:sz="0" w:space="0" w:color="auto"/>
          </w:divBdr>
        </w:div>
        <w:div w:id="1131170546">
          <w:marLeft w:val="1800"/>
          <w:marRight w:val="0"/>
          <w:marTop w:val="91"/>
          <w:marBottom w:val="0"/>
          <w:divBdr>
            <w:top w:val="none" w:sz="0" w:space="0" w:color="auto"/>
            <w:left w:val="none" w:sz="0" w:space="0" w:color="auto"/>
            <w:bottom w:val="none" w:sz="0" w:space="0" w:color="auto"/>
            <w:right w:val="none" w:sz="0" w:space="0" w:color="auto"/>
          </w:divBdr>
        </w:div>
        <w:div w:id="2021620222">
          <w:marLeft w:val="1166"/>
          <w:marRight w:val="0"/>
          <w:marTop w:val="106"/>
          <w:marBottom w:val="0"/>
          <w:divBdr>
            <w:top w:val="none" w:sz="0" w:space="0" w:color="auto"/>
            <w:left w:val="none" w:sz="0" w:space="0" w:color="auto"/>
            <w:bottom w:val="none" w:sz="0" w:space="0" w:color="auto"/>
            <w:right w:val="none" w:sz="0" w:space="0" w:color="auto"/>
          </w:divBdr>
        </w:div>
      </w:divsChild>
    </w:div>
    <w:div w:id="950548252">
      <w:bodyDiv w:val="1"/>
      <w:marLeft w:val="0"/>
      <w:marRight w:val="0"/>
      <w:marTop w:val="0"/>
      <w:marBottom w:val="0"/>
      <w:divBdr>
        <w:top w:val="none" w:sz="0" w:space="0" w:color="auto"/>
        <w:left w:val="none" w:sz="0" w:space="0" w:color="auto"/>
        <w:bottom w:val="none" w:sz="0" w:space="0" w:color="auto"/>
        <w:right w:val="none" w:sz="0" w:space="0" w:color="auto"/>
      </w:divBdr>
    </w:div>
    <w:div w:id="957761038">
      <w:bodyDiv w:val="1"/>
      <w:marLeft w:val="0"/>
      <w:marRight w:val="0"/>
      <w:marTop w:val="0"/>
      <w:marBottom w:val="0"/>
      <w:divBdr>
        <w:top w:val="none" w:sz="0" w:space="0" w:color="auto"/>
        <w:left w:val="none" w:sz="0" w:space="0" w:color="auto"/>
        <w:bottom w:val="none" w:sz="0" w:space="0" w:color="auto"/>
        <w:right w:val="none" w:sz="0" w:space="0" w:color="auto"/>
      </w:divBdr>
    </w:div>
    <w:div w:id="967006010">
      <w:bodyDiv w:val="1"/>
      <w:marLeft w:val="0"/>
      <w:marRight w:val="0"/>
      <w:marTop w:val="0"/>
      <w:marBottom w:val="0"/>
      <w:divBdr>
        <w:top w:val="none" w:sz="0" w:space="0" w:color="auto"/>
        <w:left w:val="none" w:sz="0" w:space="0" w:color="auto"/>
        <w:bottom w:val="none" w:sz="0" w:space="0" w:color="auto"/>
        <w:right w:val="none" w:sz="0" w:space="0" w:color="auto"/>
      </w:divBdr>
    </w:div>
    <w:div w:id="971864511">
      <w:bodyDiv w:val="1"/>
      <w:marLeft w:val="0"/>
      <w:marRight w:val="0"/>
      <w:marTop w:val="0"/>
      <w:marBottom w:val="0"/>
      <w:divBdr>
        <w:top w:val="none" w:sz="0" w:space="0" w:color="auto"/>
        <w:left w:val="none" w:sz="0" w:space="0" w:color="auto"/>
        <w:bottom w:val="none" w:sz="0" w:space="0" w:color="auto"/>
        <w:right w:val="none" w:sz="0" w:space="0" w:color="auto"/>
      </w:divBdr>
    </w:div>
    <w:div w:id="976838516">
      <w:bodyDiv w:val="1"/>
      <w:marLeft w:val="0"/>
      <w:marRight w:val="0"/>
      <w:marTop w:val="0"/>
      <w:marBottom w:val="0"/>
      <w:divBdr>
        <w:top w:val="none" w:sz="0" w:space="0" w:color="auto"/>
        <w:left w:val="none" w:sz="0" w:space="0" w:color="auto"/>
        <w:bottom w:val="none" w:sz="0" w:space="0" w:color="auto"/>
        <w:right w:val="none" w:sz="0" w:space="0" w:color="auto"/>
      </w:divBdr>
    </w:div>
    <w:div w:id="989098127">
      <w:bodyDiv w:val="1"/>
      <w:marLeft w:val="0"/>
      <w:marRight w:val="0"/>
      <w:marTop w:val="0"/>
      <w:marBottom w:val="0"/>
      <w:divBdr>
        <w:top w:val="none" w:sz="0" w:space="0" w:color="auto"/>
        <w:left w:val="none" w:sz="0" w:space="0" w:color="auto"/>
        <w:bottom w:val="none" w:sz="0" w:space="0" w:color="auto"/>
        <w:right w:val="none" w:sz="0" w:space="0" w:color="auto"/>
      </w:divBdr>
    </w:div>
    <w:div w:id="990063104">
      <w:bodyDiv w:val="1"/>
      <w:marLeft w:val="30"/>
      <w:marRight w:val="30"/>
      <w:marTop w:val="0"/>
      <w:marBottom w:val="0"/>
      <w:divBdr>
        <w:top w:val="none" w:sz="0" w:space="0" w:color="auto"/>
        <w:left w:val="none" w:sz="0" w:space="0" w:color="auto"/>
        <w:bottom w:val="none" w:sz="0" w:space="0" w:color="auto"/>
        <w:right w:val="none" w:sz="0" w:space="0" w:color="auto"/>
      </w:divBdr>
      <w:divsChild>
        <w:div w:id="174153092">
          <w:marLeft w:val="0"/>
          <w:marRight w:val="0"/>
          <w:marTop w:val="0"/>
          <w:marBottom w:val="0"/>
          <w:divBdr>
            <w:top w:val="none" w:sz="0" w:space="0" w:color="auto"/>
            <w:left w:val="none" w:sz="0" w:space="0" w:color="auto"/>
            <w:bottom w:val="none" w:sz="0" w:space="0" w:color="auto"/>
            <w:right w:val="none" w:sz="0" w:space="0" w:color="auto"/>
          </w:divBdr>
          <w:divsChild>
            <w:div w:id="1731463556">
              <w:marLeft w:val="0"/>
              <w:marRight w:val="0"/>
              <w:marTop w:val="0"/>
              <w:marBottom w:val="0"/>
              <w:divBdr>
                <w:top w:val="none" w:sz="0" w:space="0" w:color="auto"/>
                <w:left w:val="none" w:sz="0" w:space="0" w:color="auto"/>
                <w:bottom w:val="none" w:sz="0" w:space="0" w:color="auto"/>
                <w:right w:val="none" w:sz="0" w:space="0" w:color="auto"/>
              </w:divBdr>
              <w:divsChild>
                <w:div w:id="1241865078">
                  <w:marLeft w:val="180"/>
                  <w:marRight w:val="0"/>
                  <w:marTop w:val="0"/>
                  <w:marBottom w:val="0"/>
                  <w:divBdr>
                    <w:top w:val="none" w:sz="0" w:space="0" w:color="auto"/>
                    <w:left w:val="none" w:sz="0" w:space="0" w:color="auto"/>
                    <w:bottom w:val="none" w:sz="0" w:space="0" w:color="auto"/>
                    <w:right w:val="none" w:sz="0" w:space="0" w:color="auto"/>
                  </w:divBdr>
                  <w:divsChild>
                    <w:div w:id="1093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19710">
      <w:bodyDiv w:val="1"/>
      <w:marLeft w:val="0"/>
      <w:marRight w:val="0"/>
      <w:marTop w:val="0"/>
      <w:marBottom w:val="0"/>
      <w:divBdr>
        <w:top w:val="none" w:sz="0" w:space="0" w:color="auto"/>
        <w:left w:val="none" w:sz="0" w:space="0" w:color="auto"/>
        <w:bottom w:val="none" w:sz="0" w:space="0" w:color="auto"/>
        <w:right w:val="none" w:sz="0" w:space="0" w:color="auto"/>
      </w:divBdr>
    </w:div>
    <w:div w:id="1013455309">
      <w:bodyDiv w:val="1"/>
      <w:marLeft w:val="0"/>
      <w:marRight w:val="0"/>
      <w:marTop w:val="0"/>
      <w:marBottom w:val="0"/>
      <w:divBdr>
        <w:top w:val="none" w:sz="0" w:space="0" w:color="auto"/>
        <w:left w:val="none" w:sz="0" w:space="0" w:color="auto"/>
        <w:bottom w:val="none" w:sz="0" w:space="0" w:color="auto"/>
        <w:right w:val="none" w:sz="0" w:space="0" w:color="auto"/>
      </w:divBdr>
    </w:div>
    <w:div w:id="1019502317">
      <w:bodyDiv w:val="1"/>
      <w:marLeft w:val="0"/>
      <w:marRight w:val="0"/>
      <w:marTop w:val="0"/>
      <w:marBottom w:val="0"/>
      <w:divBdr>
        <w:top w:val="none" w:sz="0" w:space="0" w:color="auto"/>
        <w:left w:val="none" w:sz="0" w:space="0" w:color="auto"/>
        <w:bottom w:val="none" w:sz="0" w:space="0" w:color="auto"/>
        <w:right w:val="none" w:sz="0" w:space="0" w:color="auto"/>
      </w:divBdr>
    </w:div>
    <w:div w:id="1021668457">
      <w:bodyDiv w:val="1"/>
      <w:marLeft w:val="0"/>
      <w:marRight w:val="0"/>
      <w:marTop w:val="0"/>
      <w:marBottom w:val="0"/>
      <w:divBdr>
        <w:top w:val="none" w:sz="0" w:space="0" w:color="auto"/>
        <w:left w:val="none" w:sz="0" w:space="0" w:color="auto"/>
        <w:bottom w:val="none" w:sz="0" w:space="0" w:color="auto"/>
        <w:right w:val="none" w:sz="0" w:space="0" w:color="auto"/>
      </w:divBdr>
    </w:div>
    <w:div w:id="1028066502">
      <w:bodyDiv w:val="1"/>
      <w:marLeft w:val="0"/>
      <w:marRight w:val="0"/>
      <w:marTop w:val="0"/>
      <w:marBottom w:val="0"/>
      <w:divBdr>
        <w:top w:val="none" w:sz="0" w:space="0" w:color="auto"/>
        <w:left w:val="none" w:sz="0" w:space="0" w:color="auto"/>
        <w:bottom w:val="none" w:sz="0" w:space="0" w:color="auto"/>
        <w:right w:val="none" w:sz="0" w:space="0" w:color="auto"/>
      </w:divBdr>
    </w:div>
    <w:div w:id="1036127751">
      <w:bodyDiv w:val="1"/>
      <w:marLeft w:val="0"/>
      <w:marRight w:val="0"/>
      <w:marTop w:val="0"/>
      <w:marBottom w:val="0"/>
      <w:divBdr>
        <w:top w:val="none" w:sz="0" w:space="0" w:color="auto"/>
        <w:left w:val="none" w:sz="0" w:space="0" w:color="auto"/>
        <w:bottom w:val="none" w:sz="0" w:space="0" w:color="auto"/>
        <w:right w:val="none" w:sz="0" w:space="0" w:color="auto"/>
      </w:divBdr>
    </w:div>
    <w:div w:id="1043208930">
      <w:bodyDiv w:val="1"/>
      <w:marLeft w:val="0"/>
      <w:marRight w:val="0"/>
      <w:marTop w:val="0"/>
      <w:marBottom w:val="0"/>
      <w:divBdr>
        <w:top w:val="none" w:sz="0" w:space="0" w:color="auto"/>
        <w:left w:val="none" w:sz="0" w:space="0" w:color="auto"/>
        <w:bottom w:val="none" w:sz="0" w:space="0" w:color="auto"/>
        <w:right w:val="none" w:sz="0" w:space="0" w:color="auto"/>
      </w:divBdr>
    </w:div>
    <w:div w:id="1046759250">
      <w:bodyDiv w:val="1"/>
      <w:marLeft w:val="0"/>
      <w:marRight w:val="0"/>
      <w:marTop w:val="0"/>
      <w:marBottom w:val="0"/>
      <w:divBdr>
        <w:top w:val="none" w:sz="0" w:space="0" w:color="auto"/>
        <w:left w:val="none" w:sz="0" w:space="0" w:color="auto"/>
        <w:bottom w:val="none" w:sz="0" w:space="0" w:color="auto"/>
        <w:right w:val="none" w:sz="0" w:space="0" w:color="auto"/>
      </w:divBdr>
    </w:div>
    <w:div w:id="1050767848">
      <w:bodyDiv w:val="1"/>
      <w:marLeft w:val="0"/>
      <w:marRight w:val="0"/>
      <w:marTop w:val="0"/>
      <w:marBottom w:val="0"/>
      <w:divBdr>
        <w:top w:val="none" w:sz="0" w:space="0" w:color="auto"/>
        <w:left w:val="none" w:sz="0" w:space="0" w:color="auto"/>
        <w:bottom w:val="none" w:sz="0" w:space="0" w:color="auto"/>
        <w:right w:val="none" w:sz="0" w:space="0" w:color="auto"/>
      </w:divBdr>
    </w:div>
    <w:div w:id="1061712321">
      <w:bodyDiv w:val="1"/>
      <w:marLeft w:val="0"/>
      <w:marRight w:val="0"/>
      <w:marTop w:val="0"/>
      <w:marBottom w:val="0"/>
      <w:divBdr>
        <w:top w:val="none" w:sz="0" w:space="0" w:color="auto"/>
        <w:left w:val="none" w:sz="0" w:space="0" w:color="auto"/>
        <w:bottom w:val="none" w:sz="0" w:space="0" w:color="auto"/>
        <w:right w:val="none" w:sz="0" w:space="0" w:color="auto"/>
      </w:divBdr>
    </w:div>
    <w:div w:id="1062945292">
      <w:bodyDiv w:val="1"/>
      <w:marLeft w:val="0"/>
      <w:marRight w:val="0"/>
      <w:marTop w:val="0"/>
      <w:marBottom w:val="0"/>
      <w:divBdr>
        <w:top w:val="none" w:sz="0" w:space="0" w:color="auto"/>
        <w:left w:val="none" w:sz="0" w:space="0" w:color="auto"/>
        <w:bottom w:val="none" w:sz="0" w:space="0" w:color="auto"/>
        <w:right w:val="none" w:sz="0" w:space="0" w:color="auto"/>
      </w:divBdr>
    </w:div>
    <w:div w:id="1071122986">
      <w:bodyDiv w:val="1"/>
      <w:marLeft w:val="0"/>
      <w:marRight w:val="0"/>
      <w:marTop w:val="0"/>
      <w:marBottom w:val="0"/>
      <w:divBdr>
        <w:top w:val="none" w:sz="0" w:space="0" w:color="auto"/>
        <w:left w:val="none" w:sz="0" w:space="0" w:color="auto"/>
        <w:bottom w:val="none" w:sz="0" w:space="0" w:color="auto"/>
        <w:right w:val="none" w:sz="0" w:space="0" w:color="auto"/>
      </w:divBdr>
    </w:div>
    <w:div w:id="1073238305">
      <w:bodyDiv w:val="1"/>
      <w:marLeft w:val="0"/>
      <w:marRight w:val="0"/>
      <w:marTop w:val="0"/>
      <w:marBottom w:val="0"/>
      <w:divBdr>
        <w:top w:val="none" w:sz="0" w:space="0" w:color="auto"/>
        <w:left w:val="none" w:sz="0" w:space="0" w:color="auto"/>
        <w:bottom w:val="none" w:sz="0" w:space="0" w:color="auto"/>
        <w:right w:val="none" w:sz="0" w:space="0" w:color="auto"/>
      </w:divBdr>
      <w:divsChild>
        <w:div w:id="1415936147">
          <w:marLeft w:val="0"/>
          <w:marRight w:val="0"/>
          <w:marTop w:val="0"/>
          <w:marBottom w:val="0"/>
          <w:divBdr>
            <w:top w:val="none" w:sz="0" w:space="0" w:color="auto"/>
            <w:left w:val="none" w:sz="0" w:space="0" w:color="auto"/>
            <w:bottom w:val="none" w:sz="0" w:space="0" w:color="auto"/>
            <w:right w:val="none" w:sz="0" w:space="0" w:color="auto"/>
          </w:divBdr>
          <w:divsChild>
            <w:div w:id="10098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1119">
      <w:bodyDiv w:val="1"/>
      <w:marLeft w:val="0"/>
      <w:marRight w:val="0"/>
      <w:marTop w:val="0"/>
      <w:marBottom w:val="0"/>
      <w:divBdr>
        <w:top w:val="none" w:sz="0" w:space="0" w:color="auto"/>
        <w:left w:val="none" w:sz="0" w:space="0" w:color="auto"/>
        <w:bottom w:val="none" w:sz="0" w:space="0" w:color="auto"/>
        <w:right w:val="none" w:sz="0" w:space="0" w:color="auto"/>
      </w:divBdr>
    </w:div>
    <w:div w:id="1091507631">
      <w:bodyDiv w:val="1"/>
      <w:marLeft w:val="0"/>
      <w:marRight w:val="0"/>
      <w:marTop w:val="0"/>
      <w:marBottom w:val="0"/>
      <w:divBdr>
        <w:top w:val="none" w:sz="0" w:space="0" w:color="auto"/>
        <w:left w:val="none" w:sz="0" w:space="0" w:color="auto"/>
        <w:bottom w:val="none" w:sz="0" w:space="0" w:color="auto"/>
        <w:right w:val="none" w:sz="0" w:space="0" w:color="auto"/>
      </w:divBdr>
    </w:div>
    <w:div w:id="1095831171">
      <w:bodyDiv w:val="1"/>
      <w:marLeft w:val="0"/>
      <w:marRight w:val="0"/>
      <w:marTop w:val="0"/>
      <w:marBottom w:val="0"/>
      <w:divBdr>
        <w:top w:val="none" w:sz="0" w:space="0" w:color="auto"/>
        <w:left w:val="none" w:sz="0" w:space="0" w:color="auto"/>
        <w:bottom w:val="none" w:sz="0" w:space="0" w:color="auto"/>
        <w:right w:val="none" w:sz="0" w:space="0" w:color="auto"/>
      </w:divBdr>
    </w:div>
    <w:div w:id="1109854006">
      <w:bodyDiv w:val="1"/>
      <w:marLeft w:val="0"/>
      <w:marRight w:val="0"/>
      <w:marTop w:val="0"/>
      <w:marBottom w:val="0"/>
      <w:divBdr>
        <w:top w:val="none" w:sz="0" w:space="0" w:color="auto"/>
        <w:left w:val="none" w:sz="0" w:space="0" w:color="auto"/>
        <w:bottom w:val="none" w:sz="0" w:space="0" w:color="auto"/>
        <w:right w:val="none" w:sz="0" w:space="0" w:color="auto"/>
      </w:divBdr>
    </w:div>
    <w:div w:id="1110592001">
      <w:bodyDiv w:val="1"/>
      <w:marLeft w:val="0"/>
      <w:marRight w:val="0"/>
      <w:marTop w:val="0"/>
      <w:marBottom w:val="0"/>
      <w:divBdr>
        <w:top w:val="none" w:sz="0" w:space="0" w:color="auto"/>
        <w:left w:val="none" w:sz="0" w:space="0" w:color="auto"/>
        <w:bottom w:val="none" w:sz="0" w:space="0" w:color="auto"/>
        <w:right w:val="none" w:sz="0" w:space="0" w:color="auto"/>
      </w:divBdr>
    </w:div>
    <w:div w:id="1115101586">
      <w:bodyDiv w:val="1"/>
      <w:marLeft w:val="0"/>
      <w:marRight w:val="0"/>
      <w:marTop w:val="0"/>
      <w:marBottom w:val="0"/>
      <w:divBdr>
        <w:top w:val="none" w:sz="0" w:space="0" w:color="auto"/>
        <w:left w:val="none" w:sz="0" w:space="0" w:color="auto"/>
        <w:bottom w:val="none" w:sz="0" w:space="0" w:color="auto"/>
        <w:right w:val="none" w:sz="0" w:space="0" w:color="auto"/>
      </w:divBdr>
    </w:div>
    <w:div w:id="1134761681">
      <w:bodyDiv w:val="1"/>
      <w:marLeft w:val="0"/>
      <w:marRight w:val="0"/>
      <w:marTop w:val="0"/>
      <w:marBottom w:val="0"/>
      <w:divBdr>
        <w:top w:val="none" w:sz="0" w:space="0" w:color="auto"/>
        <w:left w:val="none" w:sz="0" w:space="0" w:color="auto"/>
        <w:bottom w:val="none" w:sz="0" w:space="0" w:color="auto"/>
        <w:right w:val="none" w:sz="0" w:space="0" w:color="auto"/>
      </w:divBdr>
    </w:div>
    <w:div w:id="1137187523">
      <w:bodyDiv w:val="1"/>
      <w:marLeft w:val="0"/>
      <w:marRight w:val="0"/>
      <w:marTop w:val="0"/>
      <w:marBottom w:val="0"/>
      <w:divBdr>
        <w:top w:val="none" w:sz="0" w:space="0" w:color="auto"/>
        <w:left w:val="none" w:sz="0" w:space="0" w:color="auto"/>
        <w:bottom w:val="none" w:sz="0" w:space="0" w:color="auto"/>
        <w:right w:val="none" w:sz="0" w:space="0" w:color="auto"/>
      </w:divBdr>
    </w:div>
    <w:div w:id="1137992283">
      <w:bodyDiv w:val="1"/>
      <w:marLeft w:val="0"/>
      <w:marRight w:val="0"/>
      <w:marTop w:val="0"/>
      <w:marBottom w:val="0"/>
      <w:divBdr>
        <w:top w:val="none" w:sz="0" w:space="0" w:color="auto"/>
        <w:left w:val="none" w:sz="0" w:space="0" w:color="auto"/>
        <w:bottom w:val="none" w:sz="0" w:space="0" w:color="auto"/>
        <w:right w:val="none" w:sz="0" w:space="0" w:color="auto"/>
      </w:divBdr>
    </w:div>
    <w:div w:id="1139104255">
      <w:bodyDiv w:val="1"/>
      <w:marLeft w:val="0"/>
      <w:marRight w:val="0"/>
      <w:marTop w:val="0"/>
      <w:marBottom w:val="0"/>
      <w:divBdr>
        <w:top w:val="none" w:sz="0" w:space="0" w:color="auto"/>
        <w:left w:val="none" w:sz="0" w:space="0" w:color="auto"/>
        <w:bottom w:val="none" w:sz="0" w:space="0" w:color="auto"/>
        <w:right w:val="none" w:sz="0" w:space="0" w:color="auto"/>
      </w:divBdr>
    </w:div>
    <w:div w:id="1139416802">
      <w:bodyDiv w:val="1"/>
      <w:marLeft w:val="0"/>
      <w:marRight w:val="0"/>
      <w:marTop w:val="0"/>
      <w:marBottom w:val="0"/>
      <w:divBdr>
        <w:top w:val="none" w:sz="0" w:space="0" w:color="auto"/>
        <w:left w:val="none" w:sz="0" w:space="0" w:color="auto"/>
        <w:bottom w:val="none" w:sz="0" w:space="0" w:color="auto"/>
        <w:right w:val="none" w:sz="0" w:space="0" w:color="auto"/>
      </w:divBdr>
    </w:div>
    <w:div w:id="1147481069">
      <w:bodyDiv w:val="1"/>
      <w:marLeft w:val="0"/>
      <w:marRight w:val="0"/>
      <w:marTop w:val="0"/>
      <w:marBottom w:val="0"/>
      <w:divBdr>
        <w:top w:val="none" w:sz="0" w:space="0" w:color="auto"/>
        <w:left w:val="none" w:sz="0" w:space="0" w:color="auto"/>
        <w:bottom w:val="none" w:sz="0" w:space="0" w:color="auto"/>
        <w:right w:val="none" w:sz="0" w:space="0" w:color="auto"/>
      </w:divBdr>
    </w:div>
    <w:div w:id="1150051173">
      <w:bodyDiv w:val="1"/>
      <w:marLeft w:val="0"/>
      <w:marRight w:val="0"/>
      <w:marTop w:val="0"/>
      <w:marBottom w:val="0"/>
      <w:divBdr>
        <w:top w:val="none" w:sz="0" w:space="0" w:color="auto"/>
        <w:left w:val="none" w:sz="0" w:space="0" w:color="auto"/>
        <w:bottom w:val="none" w:sz="0" w:space="0" w:color="auto"/>
        <w:right w:val="none" w:sz="0" w:space="0" w:color="auto"/>
      </w:divBdr>
    </w:div>
    <w:div w:id="1165171767">
      <w:bodyDiv w:val="1"/>
      <w:marLeft w:val="0"/>
      <w:marRight w:val="0"/>
      <w:marTop w:val="0"/>
      <w:marBottom w:val="0"/>
      <w:divBdr>
        <w:top w:val="none" w:sz="0" w:space="0" w:color="auto"/>
        <w:left w:val="none" w:sz="0" w:space="0" w:color="auto"/>
        <w:bottom w:val="none" w:sz="0" w:space="0" w:color="auto"/>
        <w:right w:val="none" w:sz="0" w:space="0" w:color="auto"/>
      </w:divBdr>
    </w:div>
    <w:div w:id="1165822628">
      <w:bodyDiv w:val="1"/>
      <w:marLeft w:val="0"/>
      <w:marRight w:val="0"/>
      <w:marTop w:val="0"/>
      <w:marBottom w:val="0"/>
      <w:divBdr>
        <w:top w:val="none" w:sz="0" w:space="0" w:color="auto"/>
        <w:left w:val="none" w:sz="0" w:space="0" w:color="auto"/>
        <w:bottom w:val="none" w:sz="0" w:space="0" w:color="auto"/>
        <w:right w:val="none" w:sz="0" w:space="0" w:color="auto"/>
      </w:divBdr>
    </w:div>
    <w:div w:id="1184900597">
      <w:bodyDiv w:val="1"/>
      <w:marLeft w:val="0"/>
      <w:marRight w:val="0"/>
      <w:marTop w:val="0"/>
      <w:marBottom w:val="0"/>
      <w:divBdr>
        <w:top w:val="none" w:sz="0" w:space="0" w:color="auto"/>
        <w:left w:val="none" w:sz="0" w:space="0" w:color="auto"/>
        <w:bottom w:val="none" w:sz="0" w:space="0" w:color="auto"/>
        <w:right w:val="none" w:sz="0" w:space="0" w:color="auto"/>
      </w:divBdr>
    </w:div>
    <w:div w:id="1200780744">
      <w:bodyDiv w:val="1"/>
      <w:marLeft w:val="0"/>
      <w:marRight w:val="0"/>
      <w:marTop w:val="0"/>
      <w:marBottom w:val="0"/>
      <w:divBdr>
        <w:top w:val="none" w:sz="0" w:space="0" w:color="auto"/>
        <w:left w:val="none" w:sz="0" w:space="0" w:color="auto"/>
        <w:bottom w:val="none" w:sz="0" w:space="0" w:color="auto"/>
        <w:right w:val="none" w:sz="0" w:space="0" w:color="auto"/>
      </w:divBdr>
    </w:div>
    <w:div w:id="1203402577">
      <w:bodyDiv w:val="1"/>
      <w:marLeft w:val="0"/>
      <w:marRight w:val="0"/>
      <w:marTop w:val="0"/>
      <w:marBottom w:val="0"/>
      <w:divBdr>
        <w:top w:val="none" w:sz="0" w:space="0" w:color="auto"/>
        <w:left w:val="none" w:sz="0" w:space="0" w:color="auto"/>
        <w:bottom w:val="none" w:sz="0" w:space="0" w:color="auto"/>
        <w:right w:val="none" w:sz="0" w:space="0" w:color="auto"/>
      </w:divBdr>
    </w:div>
    <w:div w:id="1216896820">
      <w:bodyDiv w:val="1"/>
      <w:marLeft w:val="0"/>
      <w:marRight w:val="0"/>
      <w:marTop w:val="0"/>
      <w:marBottom w:val="0"/>
      <w:divBdr>
        <w:top w:val="none" w:sz="0" w:space="0" w:color="auto"/>
        <w:left w:val="none" w:sz="0" w:space="0" w:color="auto"/>
        <w:bottom w:val="none" w:sz="0" w:space="0" w:color="auto"/>
        <w:right w:val="none" w:sz="0" w:space="0" w:color="auto"/>
      </w:divBdr>
    </w:div>
    <w:div w:id="1222011897">
      <w:bodyDiv w:val="1"/>
      <w:marLeft w:val="0"/>
      <w:marRight w:val="0"/>
      <w:marTop w:val="0"/>
      <w:marBottom w:val="0"/>
      <w:divBdr>
        <w:top w:val="none" w:sz="0" w:space="0" w:color="auto"/>
        <w:left w:val="none" w:sz="0" w:space="0" w:color="auto"/>
        <w:bottom w:val="none" w:sz="0" w:space="0" w:color="auto"/>
        <w:right w:val="none" w:sz="0" w:space="0" w:color="auto"/>
      </w:divBdr>
    </w:div>
    <w:div w:id="1223758244">
      <w:bodyDiv w:val="1"/>
      <w:marLeft w:val="0"/>
      <w:marRight w:val="0"/>
      <w:marTop w:val="0"/>
      <w:marBottom w:val="0"/>
      <w:divBdr>
        <w:top w:val="none" w:sz="0" w:space="0" w:color="auto"/>
        <w:left w:val="none" w:sz="0" w:space="0" w:color="auto"/>
        <w:bottom w:val="none" w:sz="0" w:space="0" w:color="auto"/>
        <w:right w:val="none" w:sz="0" w:space="0" w:color="auto"/>
      </w:divBdr>
    </w:div>
    <w:div w:id="1223758368">
      <w:bodyDiv w:val="1"/>
      <w:marLeft w:val="0"/>
      <w:marRight w:val="0"/>
      <w:marTop w:val="0"/>
      <w:marBottom w:val="0"/>
      <w:divBdr>
        <w:top w:val="none" w:sz="0" w:space="0" w:color="auto"/>
        <w:left w:val="none" w:sz="0" w:space="0" w:color="auto"/>
        <w:bottom w:val="none" w:sz="0" w:space="0" w:color="auto"/>
        <w:right w:val="none" w:sz="0" w:space="0" w:color="auto"/>
      </w:divBdr>
    </w:div>
    <w:div w:id="1224020564">
      <w:bodyDiv w:val="1"/>
      <w:marLeft w:val="0"/>
      <w:marRight w:val="0"/>
      <w:marTop w:val="0"/>
      <w:marBottom w:val="0"/>
      <w:divBdr>
        <w:top w:val="none" w:sz="0" w:space="0" w:color="auto"/>
        <w:left w:val="none" w:sz="0" w:space="0" w:color="auto"/>
        <w:bottom w:val="none" w:sz="0" w:space="0" w:color="auto"/>
        <w:right w:val="none" w:sz="0" w:space="0" w:color="auto"/>
      </w:divBdr>
    </w:div>
    <w:div w:id="1230461160">
      <w:bodyDiv w:val="1"/>
      <w:marLeft w:val="0"/>
      <w:marRight w:val="0"/>
      <w:marTop w:val="0"/>
      <w:marBottom w:val="0"/>
      <w:divBdr>
        <w:top w:val="none" w:sz="0" w:space="0" w:color="auto"/>
        <w:left w:val="none" w:sz="0" w:space="0" w:color="auto"/>
        <w:bottom w:val="none" w:sz="0" w:space="0" w:color="auto"/>
        <w:right w:val="none" w:sz="0" w:space="0" w:color="auto"/>
      </w:divBdr>
    </w:div>
    <w:div w:id="1232353698">
      <w:bodyDiv w:val="1"/>
      <w:marLeft w:val="0"/>
      <w:marRight w:val="0"/>
      <w:marTop w:val="0"/>
      <w:marBottom w:val="0"/>
      <w:divBdr>
        <w:top w:val="none" w:sz="0" w:space="0" w:color="auto"/>
        <w:left w:val="none" w:sz="0" w:space="0" w:color="auto"/>
        <w:bottom w:val="none" w:sz="0" w:space="0" w:color="auto"/>
        <w:right w:val="none" w:sz="0" w:space="0" w:color="auto"/>
      </w:divBdr>
    </w:div>
    <w:div w:id="1235431514">
      <w:bodyDiv w:val="1"/>
      <w:marLeft w:val="0"/>
      <w:marRight w:val="0"/>
      <w:marTop w:val="0"/>
      <w:marBottom w:val="0"/>
      <w:divBdr>
        <w:top w:val="none" w:sz="0" w:space="0" w:color="auto"/>
        <w:left w:val="none" w:sz="0" w:space="0" w:color="auto"/>
        <w:bottom w:val="none" w:sz="0" w:space="0" w:color="auto"/>
        <w:right w:val="none" w:sz="0" w:space="0" w:color="auto"/>
      </w:divBdr>
    </w:div>
    <w:div w:id="1244727289">
      <w:bodyDiv w:val="1"/>
      <w:marLeft w:val="0"/>
      <w:marRight w:val="0"/>
      <w:marTop w:val="0"/>
      <w:marBottom w:val="0"/>
      <w:divBdr>
        <w:top w:val="none" w:sz="0" w:space="0" w:color="auto"/>
        <w:left w:val="none" w:sz="0" w:space="0" w:color="auto"/>
        <w:bottom w:val="none" w:sz="0" w:space="0" w:color="auto"/>
        <w:right w:val="none" w:sz="0" w:space="0" w:color="auto"/>
      </w:divBdr>
    </w:div>
    <w:div w:id="1249071272">
      <w:bodyDiv w:val="1"/>
      <w:marLeft w:val="0"/>
      <w:marRight w:val="0"/>
      <w:marTop w:val="0"/>
      <w:marBottom w:val="0"/>
      <w:divBdr>
        <w:top w:val="none" w:sz="0" w:space="0" w:color="auto"/>
        <w:left w:val="none" w:sz="0" w:space="0" w:color="auto"/>
        <w:bottom w:val="none" w:sz="0" w:space="0" w:color="auto"/>
        <w:right w:val="none" w:sz="0" w:space="0" w:color="auto"/>
      </w:divBdr>
    </w:div>
    <w:div w:id="1249773620">
      <w:bodyDiv w:val="1"/>
      <w:marLeft w:val="0"/>
      <w:marRight w:val="0"/>
      <w:marTop w:val="0"/>
      <w:marBottom w:val="0"/>
      <w:divBdr>
        <w:top w:val="none" w:sz="0" w:space="0" w:color="auto"/>
        <w:left w:val="none" w:sz="0" w:space="0" w:color="auto"/>
        <w:bottom w:val="none" w:sz="0" w:space="0" w:color="auto"/>
        <w:right w:val="none" w:sz="0" w:space="0" w:color="auto"/>
      </w:divBdr>
    </w:div>
    <w:div w:id="1258903203">
      <w:bodyDiv w:val="1"/>
      <w:marLeft w:val="0"/>
      <w:marRight w:val="0"/>
      <w:marTop w:val="0"/>
      <w:marBottom w:val="0"/>
      <w:divBdr>
        <w:top w:val="none" w:sz="0" w:space="0" w:color="auto"/>
        <w:left w:val="none" w:sz="0" w:space="0" w:color="auto"/>
        <w:bottom w:val="none" w:sz="0" w:space="0" w:color="auto"/>
        <w:right w:val="none" w:sz="0" w:space="0" w:color="auto"/>
      </w:divBdr>
    </w:div>
    <w:div w:id="1269388976">
      <w:bodyDiv w:val="1"/>
      <w:marLeft w:val="0"/>
      <w:marRight w:val="0"/>
      <w:marTop w:val="0"/>
      <w:marBottom w:val="0"/>
      <w:divBdr>
        <w:top w:val="none" w:sz="0" w:space="0" w:color="auto"/>
        <w:left w:val="none" w:sz="0" w:space="0" w:color="auto"/>
        <w:bottom w:val="none" w:sz="0" w:space="0" w:color="auto"/>
        <w:right w:val="none" w:sz="0" w:space="0" w:color="auto"/>
      </w:divBdr>
    </w:div>
    <w:div w:id="1280722383">
      <w:bodyDiv w:val="1"/>
      <w:marLeft w:val="0"/>
      <w:marRight w:val="0"/>
      <w:marTop w:val="0"/>
      <w:marBottom w:val="0"/>
      <w:divBdr>
        <w:top w:val="none" w:sz="0" w:space="0" w:color="auto"/>
        <w:left w:val="none" w:sz="0" w:space="0" w:color="auto"/>
        <w:bottom w:val="none" w:sz="0" w:space="0" w:color="auto"/>
        <w:right w:val="none" w:sz="0" w:space="0" w:color="auto"/>
      </w:divBdr>
    </w:div>
    <w:div w:id="1309701412">
      <w:bodyDiv w:val="1"/>
      <w:marLeft w:val="0"/>
      <w:marRight w:val="0"/>
      <w:marTop w:val="0"/>
      <w:marBottom w:val="0"/>
      <w:divBdr>
        <w:top w:val="none" w:sz="0" w:space="0" w:color="auto"/>
        <w:left w:val="none" w:sz="0" w:space="0" w:color="auto"/>
        <w:bottom w:val="none" w:sz="0" w:space="0" w:color="auto"/>
        <w:right w:val="none" w:sz="0" w:space="0" w:color="auto"/>
      </w:divBdr>
    </w:div>
    <w:div w:id="1310020624">
      <w:bodyDiv w:val="1"/>
      <w:marLeft w:val="0"/>
      <w:marRight w:val="0"/>
      <w:marTop w:val="0"/>
      <w:marBottom w:val="0"/>
      <w:divBdr>
        <w:top w:val="none" w:sz="0" w:space="0" w:color="auto"/>
        <w:left w:val="none" w:sz="0" w:space="0" w:color="auto"/>
        <w:bottom w:val="none" w:sz="0" w:space="0" w:color="auto"/>
        <w:right w:val="none" w:sz="0" w:space="0" w:color="auto"/>
      </w:divBdr>
      <w:divsChild>
        <w:div w:id="1504127062">
          <w:marLeft w:val="547"/>
          <w:marRight w:val="0"/>
          <w:marTop w:val="125"/>
          <w:marBottom w:val="0"/>
          <w:divBdr>
            <w:top w:val="none" w:sz="0" w:space="0" w:color="auto"/>
            <w:left w:val="none" w:sz="0" w:space="0" w:color="auto"/>
            <w:bottom w:val="none" w:sz="0" w:space="0" w:color="auto"/>
            <w:right w:val="none" w:sz="0" w:space="0" w:color="auto"/>
          </w:divBdr>
        </w:div>
        <w:div w:id="1914660320">
          <w:marLeft w:val="1166"/>
          <w:marRight w:val="0"/>
          <w:marTop w:val="106"/>
          <w:marBottom w:val="0"/>
          <w:divBdr>
            <w:top w:val="none" w:sz="0" w:space="0" w:color="auto"/>
            <w:left w:val="none" w:sz="0" w:space="0" w:color="auto"/>
            <w:bottom w:val="none" w:sz="0" w:space="0" w:color="auto"/>
            <w:right w:val="none" w:sz="0" w:space="0" w:color="auto"/>
          </w:divBdr>
        </w:div>
        <w:div w:id="2032534917">
          <w:marLeft w:val="1166"/>
          <w:marRight w:val="0"/>
          <w:marTop w:val="106"/>
          <w:marBottom w:val="0"/>
          <w:divBdr>
            <w:top w:val="none" w:sz="0" w:space="0" w:color="auto"/>
            <w:left w:val="none" w:sz="0" w:space="0" w:color="auto"/>
            <w:bottom w:val="none" w:sz="0" w:space="0" w:color="auto"/>
            <w:right w:val="none" w:sz="0" w:space="0" w:color="auto"/>
          </w:divBdr>
        </w:div>
      </w:divsChild>
    </w:div>
    <w:div w:id="1312368645">
      <w:bodyDiv w:val="1"/>
      <w:marLeft w:val="0"/>
      <w:marRight w:val="0"/>
      <w:marTop w:val="0"/>
      <w:marBottom w:val="0"/>
      <w:divBdr>
        <w:top w:val="none" w:sz="0" w:space="0" w:color="auto"/>
        <w:left w:val="none" w:sz="0" w:space="0" w:color="auto"/>
        <w:bottom w:val="none" w:sz="0" w:space="0" w:color="auto"/>
        <w:right w:val="none" w:sz="0" w:space="0" w:color="auto"/>
      </w:divBdr>
    </w:div>
    <w:div w:id="1319309420">
      <w:bodyDiv w:val="1"/>
      <w:marLeft w:val="0"/>
      <w:marRight w:val="0"/>
      <w:marTop w:val="0"/>
      <w:marBottom w:val="0"/>
      <w:divBdr>
        <w:top w:val="none" w:sz="0" w:space="0" w:color="auto"/>
        <w:left w:val="none" w:sz="0" w:space="0" w:color="auto"/>
        <w:bottom w:val="none" w:sz="0" w:space="0" w:color="auto"/>
        <w:right w:val="none" w:sz="0" w:space="0" w:color="auto"/>
      </w:divBdr>
    </w:div>
    <w:div w:id="1331835853">
      <w:bodyDiv w:val="1"/>
      <w:marLeft w:val="0"/>
      <w:marRight w:val="0"/>
      <w:marTop w:val="0"/>
      <w:marBottom w:val="0"/>
      <w:divBdr>
        <w:top w:val="none" w:sz="0" w:space="0" w:color="auto"/>
        <w:left w:val="none" w:sz="0" w:space="0" w:color="auto"/>
        <w:bottom w:val="none" w:sz="0" w:space="0" w:color="auto"/>
        <w:right w:val="none" w:sz="0" w:space="0" w:color="auto"/>
      </w:divBdr>
    </w:div>
    <w:div w:id="1336999952">
      <w:bodyDiv w:val="1"/>
      <w:marLeft w:val="37"/>
      <w:marRight w:val="37"/>
      <w:marTop w:val="0"/>
      <w:marBottom w:val="0"/>
      <w:divBdr>
        <w:top w:val="none" w:sz="0" w:space="0" w:color="auto"/>
        <w:left w:val="none" w:sz="0" w:space="0" w:color="auto"/>
        <w:bottom w:val="none" w:sz="0" w:space="0" w:color="auto"/>
        <w:right w:val="none" w:sz="0" w:space="0" w:color="auto"/>
      </w:divBdr>
      <w:divsChild>
        <w:div w:id="725571222">
          <w:marLeft w:val="0"/>
          <w:marRight w:val="0"/>
          <w:marTop w:val="0"/>
          <w:marBottom w:val="0"/>
          <w:divBdr>
            <w:top w:val="none" w:sz="0" w:space="0" w:color="auto"/>
            <w:left w:val="none" w:sz="0" w:space="0" w:color="auto"/>
            <w:bottom w:val="none" w:sz="0" w:space="0" w:color="auto"/>
            <w:right w:val="none" w:sz="0" w:space="0" w:color="auto"/>
          </w:divBdr>
          <w:divsChild>
            <w:div w:id="2024935826">
              <w:marLeft w:val="0"/>
              <w:marRight w:val="0"/>
              <w:marTop w:val="0"/>
              <w:marBottom w:val="0"/>
              <w:divBdr>
                <w:top w:val="none" w:sz="0" w:space="0" w:color="auto"/>
                <w:left w:val="none" w:sz="0" w:space="0" w:color="auto"/>
                <w:bottom w:val="none" w:sz="0" w:space="0" w:color="auto"/>
                <w:right w:val="none" w:sz="0" w:space="0" w:color="auto"/>
              </w:divBdr>
              <w:divsChild>
                <w:div w:id="1233153505">
                  <w:marLeft w:val="224"/>
                  <w:marRight w:val="0"/>
                  <w:marTop w:val="0"/>
                  <w:marBottom w:val="0"/>
                  <w:divBdr>
                    <w:top w:val="none" w:sz="0" w:space="0" w:color="auto"/>
                    <w:left w:val="none" w:sz="0" w:space="0" w:color="auto"/>
                    <w:bottom w:val="none" w:sz="0" w:space="0" w:color="auto"/>
                    <w:right w:val="none" w:sz="0" w:space="0" w:color="auto"/>
                  </w:divBdr>
                  <w:divsChild>
                    <w:div w:id="11386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39308">
      <w:bodyDiv w:val="1"/>
      <w:marLeft w:val="0"/>
      <w:marRight w:val="0"/>
      <w:marTop w:val="0"/>
      <w:marBottom w:val="0"/>
      <w:divBdr>
        <w:top w:val="none" w:sz="0" w:space="0" w:color="auto"/>
        <w:left w:val="none" w:sz="0" w:space="0" w:color="auto"/>
        <w:bottom w:val="none" w:sz="0" w:space="0" w:color="auto"/>
        <w:right w:val="none" w:sz="0" w:space="0" w:color="auto"/>
      </w:divBdr>
    </w:div>
    <w:div w:id="1339961487">
      <w:bodyDiv w:val="1"/>
      <w:marLeft w:val="0"/>
      <w:marRight w:val="0"/>
      <w:marTop w:val="0"/>
      <w:marBottom w:val="0"/>
      <w:divBdr>
        <w:top w:val="none" w:sz="0" w:space="0" w:color="auto"/>
        <w:left w:val="none" w:sz="0" w:space="0" w:color="auto"/>
        <w:bottom w:val="none" w:sz="0" w:space="0" w:color="auto"/>
        <w:right w:val="none" w:sz="0" w:space="0" w:color="auto"/>
      </w:divBdr>
    </w:div>
    <w:div w:id="1340353936">
      <w:bodyDiv w:val="1"/>
      <w:marLeft w:val="0"/>
      <w:marRight w:val="0"/>
      <w:marTop w:val="0"/>
      <w:marBottom w:val="0"/>
      <w:divBdr>
        <w:top w:val="none" w:sz="0" w:space="0" w:color="auto"/>
        <w:left w:val="none" w:sz="0" w:space="0" w:color="auto"/>
        <w:bottom w:val="none" w:sz="0" w:space="0" w:color="auto"/>
        <w:right w:val="none" w:sz="0" w:space="0" w:color="auto"/>
      </w:divBdr>
    </w:div>
    <w:div w:id="1342008627">
      <w:bodyDiv w:val="1"/>
      <w:marLeft w:val="0"/>
      <w:marRight w:val="0"/>
      <w:marTop w:val="0"/>
      <w:marBottom w:val="0"/>
      <w:divBdr>
        <w:top w:val="none" w:sz="0" w:space="0" w:color="auto"/>
        <w:left w:val="none" w:sz="0" w:space="0" w:color="auto"/>
        <w:bottom w:val="none" w:sz="0" w:space="0" w:color="auto"/>
        <w:right w:val="none" w:sz="0" w:space="0" w:color="auto"/>
      </w:divBdr>
      <w:divsChild>
        <w:div w:id="939336265">
          <w:marLeft w:val="1166"/>
          <w:marRight w:val="0"/>
          <w:marTop w:val="106"/>
          <w:marBottom w:val="0"/>
          <w:divBdr>
            <w:top w:val="none" w:sz="0" w:space="0" w:color="auto"/>
            <w:left w:val="none" w:sz="0" w:space="0" w:color="auto"/>
            <w:bottom w:val="none" w:sz="0" w:space="0" w:color="auto"/>
            <w:right w:val="none" w:sz="0" w:space="0" w:color="auto"/>
          </w:divBdr>
        </w:div>
        <w:div w:id="1075127860">
          <w:marLeft w:val="547"/>
          <w:marRight w:val="0"/>
          <w:marTop w:val="125"/>
          <w:marBottom w:val="0"/>
          <w:divBdr>
            <w:top w:val="none" w:sz="0" w:space="0" w:color="auto"/>
            <w:left w:val="none" w:sz="0" w:space="0" w:color="auto"/>
            <w:bottom w:val="none" w:sz="0" w:space="0" w:color="auto"/>
            <w:right w:val="none" w:sz="0" w:space="0" w:color="auto"/>
          </w:divBdr>
        </w:div>
      </w:divsChild>
    </w:div>
    <w:div w:id="1345131194">
      <w:bodyDiv w:val="1"/>
      <w:marLeft w:val="0"/>
      <w:marRight w:val="0"/>
      <w:marTop w:val="0"/>
      <w:marBottom w:val="0"/>
      <w:divBdr>
        <w:top w:val="none" w:sz="0" w:space="0" w:color="auto"/>
        <w:left w:val="none" w:sz="0" w:space="0" w:color="auto"/>
        <w:bottom w:val="none" w:sz="0" w:space="0" w:color="auto"/>
        <w:right w:val="none" w:sz="0" w:space="0" w:color="auto"/>
      </w:divBdr>
    </w:div>
    <w:div w:id="1351493686">
      <w:bodyDiv w:val="1"/>
      <w:marLeft w:val="0"/>
      <w:marRight w:val="0"/>
      <w:marTop w:val="0"/>
      <w:marBottom w:val="0"/>
      <w:divBdr>
        <w:top w:val="none" w:sz="0" w:space="0" w:color="auto"/>
        <w:left w:val="none" w:sz="0" w:space="0" w:color="auto"/>
        <w:bottom w:val="none" w:sz="0" w:space="0" w:color="auto"/>
        <w:right w:val="none" w:sz="0" w:space="0" w:color="auto"/>
      </w:divBdr>
    </w:div>
    <w:div w:id="1355498037">
      <w:bodyDiv w:val="1"/>
      <w:marLeft w:val="0"/>
      <w:marRight w:val="0"/>
      <w:marTop w:val="0"/>
      <w:marBottom w:val="0"/>
      <w:divBdr>
        <w:top w:val="none" w:sz="0" w:space="0" w:color="auto"/>
        <w:left w:val="none" w:sz="0" w:space="0" w:color="auto"/>
        <w:bottom w:val="none" w:sz="0" w:space="0" w:color="auto"/>
        <w:right w:val="none" w:sz="0" w:space="0" w:color="auto"/>
      </w:divBdr>
    </w:div>
    <w:div w:id="1357850322">
      <w:bodyDiv w:val="1"/>
      <w:marLeft w:val="0"/>
      <w:marRight w:val="0"/>
      <w:marTop w:val="0"/>
      <w:marBottom w:val="0"/>
      <w:divBdr>
        <w:top w:val="none" w:sz="0" w:space="0" w:color="auto"/>
        <w:left w:val="none" w:sz="0" w:space="0" w:color="auto"/>
        <w:bottom w:val="none" w:sz="0" w:space="0" w:color="auto"/>
        <w:right w:val="none" w:sz="0" w:space="0" w:color="auto"/>
      </w:divBdr>
    </w:div>
    <w:div w:id="1365789833">
      <w:bodyDiv w:val="1"/>
      <w:marLeft w:val="0"/>
      <w:marRight w:val="0"/>
      <w:marTop w:val="0"/>
      <w:marBottom w:val="0"/>
      <w:divBdr>
        <w:top w:val="none" w:sz="0" w:space="0" w:color="auto"/>
        <w:left w:val="none" w:sz="0" w:space="0" w:color="auto"/>
        <w:bottom w:val="none" w:sz="0" w:space="0" w:color="auto"/>
        <w:right w:val="none" w:sz="0" w:space="0" w:color="auto"/>
      </w:divBdr>
    </w:div>
    <w:div w:id="1379821051">
      <w:bodyDiv w:val="1"/>
      <w:marLeft w:val="0"/>
      <w:marRight w:val="0"/>
      <w:marTop w:val="0"/>
      <w:marBottom w:val="0"/>
      <w:divBdr>
        <w:top w:val="none" w:sz="0" w:space="0" w:color="auto"/>
        <w:left w:val="none" w:sz="0" w:space="0" w:color="auto"/>
        <w:bottom w:val="none" w:sz="0" w:space="0" w:color="auto"/>
        <w:right w:val="none" w:sz="0" w:space="0" w:color="auto"/>
      </w:divBdr>
    </w:div>
    <w:div w:id="1382678679">
      <w:bodyDiv w:val="1"/>
      <w:marLeft w:val="0"/>
      <w:marRight w:val="0"/>
      <w:marTop w:val="0"/>
      <w:marBottom w:val="0"/>
      <w:divBdr>
        <w:top w:val="none" w:sz="0" w:space="0" w:color="auto"/>
        <w:left w:val="none" w:sz="0" w:space="0" w:color="auto"/>
        <w:bottom w:val="none" w:sz="0" w:space="0" w:color="auto"/>
        <w:right w:val="none" w:sz="0" w:space="0" w:color="auto"/>
      </w:divBdr>
    </w:div>
    <w:div w:id="1386677405">
      <w:bodyDiv w:val="1"/>
      <w:marLeft w:val="0"/>
      <w:marRight w:val="0"/>
      <w:marTop w:val="0"/>
      <w:marBottom w:val="0"/>
      <w:divBdr>
        <w:top w:val="none" w:sz="0" w:space="0" w:color="auto"/>
        <w:left w:val="none" w:sz="0" w:space="0" w:color="auto"/>
        <w:bottom w:val="none" w:sz="0" w:space="0" w:color="auto"/>
        <w:right w:val="none" w:sz="0" w:space="0" w:color="auto"/>
      </w:divBdr>
    </w:div>
    <w:div w:id="1387215197">
      <w:bodyDiv w:val="1"/>
      <w:marLeft w:val="27"/>
      <w:marRight w:val="27"/>
      <w:marTop w:val="0"/>
      <w:marBottom w:val="0"/>
      <w:divBdr>
        <w:top w:val="none" w:sz="0" w:space="0" w:color="auto"/>
        <w:left w:val="none" w:sz="0" w:space="0" w:color="auto"/>
        <w:bottom w:val="none" w:sz="0" w:space="0" w:color="auto"/>
        <w:right w:val="none" w:sz="0" w:space="0" w:color="auto"/>
      </w:divBdr>
      <w:divsChild>
        <w:div w:id="2029067021">
          <w:marLeft w:val="0"/>
          <w:marRight w:val="0"/>
          <w:marTop w:val="0"/>
          <w:marBottom w:val="0"/>
          <w:divBdr>
            <w:top w:val="none" w:sz="0" w:space="0" w:color="auto"/>
            <w:left w:val="none" w:sz="0" w:space="0" w:color="auto"/>
            <w:bottom w:val="none" w:sz="0" w:space="0" w:color="auto"/>
            <w:right w:val="none" w:sz="0" w:space="0" w:color="auto"/>
          </w:divBdr>
          <w:divsChild>
            <w:div w:id="497621711">
              <w:marLeft w:val="0"/>
              <w:marRight w:val="0"/>
              <w:marTop w:val="0"/>
              <w:marBottom w:val="0"/>
              <w:divBdr>
                <w:top w:val="none" w:sz="0" w:space="0" w:color="auto"/>
                <w:left w:val="none" w:sz="0" w:space="0" w:color="auto"/>
                <w:bottom w:val="none" w:sz="0" w:space="0" w:color="auto"/>
                <w:right w:val="none" w:sz="0" w:space="0" w:color="auto"/>
              </w:divBdr>
              <w:divsChild>
                <w:div w:id="1194074909">
                  <w:marLeft w:val="163"/>
                  <w:marRight w:val="0"/>
                  <w:marTop w:val="0"/>
                  <w:marBottom w:val="0"/>
                  <w:divBdr>
                    <w:top w:val="none" w:sz="0" w:space="0" w:color="auto"/>
                    <w:left w:val="none" w:sz="0" w:space="0" w:color="auto"/>
                    <w:bottom w:val="none" w:sz="0" w:space="0" w:color="auto"/>
                    <w:right w:val="none" w:sz="0" w:space="0" w:color="auto"/>
                  </w:divBdr>
                  <w:divsChild>
                    <w:div w:id="18093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160364">
      <w:bodyDiv w:val="1"/>
      <w:marLeft w:val="0"/>
      <w:marRight w:val="0"/>
      <w:marTop w:val="0"/>
      <w:marBottom w:val="0"/>
      <w:divBdr>
        <w:top w:val="none" w:sz="0" w:space="0" w:color="auto"/>
        <w:left w:val="none" w:sz="0" w:space="0" w:color="auto"/>
        <w:bottom w:val="none" w:sz="0" w:space="0" w:color="auto"/>
        <w:right w:val="none" w:sz="0" w:space="0" w:color="auto"/>
      </w:divBdr>
    </w:div>
    <w:div w:id="1400591486">
      <w:bodyDiv w:val="1"/>
      <w:marLeft w:val="0"/>
      <w:marRight w:val="0"/>
      <w:marTop w:val="0"/>
      <w:marBottom w:val="0"/>
      <w:divBdr>
        <w:top w:val="none" w:sz="0" w:space="0" w:color="auto"/>
        <w:left w:val="none" w:sz="0" w:space="0" w:color="auto"/>
        <w:bottom w:val="none" w:sz="0" w:space="0" w:color="auto"/>
        <w:right w:val="none" w:sz="0" w:space="0" w:color="auto"/>
      </w:divBdr>
    </w:div>
    <w:div w:id="1407652452">
      <w:bodyDiv w:val="1"/>
      <w:marLeft w:val="0"/>
      <w:marRight w:val="0"/>
      <w:marTop w:val="0"/>
      <w:marBottom w:val="0"/>
      <w:divBdr>
        <w:top w:val="none" w:sz="0" w:space="0" w:color="auto"/>
        <w:left w:val="none" w:sz="0" w:space="0" w:color="auto"/>
        <w:bottom w:val="none" w:sz="0" w:space="0" w:color="auto"/>
        <w:right w:val="none" w:sz="0" w:space="0" w:color="auto"/>
      </w:divBdr>
    </w:div>
    <w:div w:id="1409767128">
      <w:bodyDiv w:val="1"/>
      <w:marLeft w:val="0"/>
      <w:marRight w:val="0"/>
      <w:marTop w:val="0"/>
      <w:marBottom w:val="0"/>
      <w:divBdr>
        <w:top w:val="none" w:sz="0" w:space="0" w:color="auto"/>
        <w:left w:val="none" w:sz="0" w:space="0" w:color="auto"/>
        <w:bottom w:val="none" w:sz="0" w:space="0" w:color="auto"/>
        <w:right w:val="none" w:sz="0" w:space="0" w:color="auto"/>
      </w:divBdr>
    </w:div>
    <w:div w:id="1425568239">
      <w:bodyDiv w:val="1"/>
      <w:marLeft w:val="0"/>
      <w:marRight w:val="0"/>
      <w:marTop w:val="0"/>
      <w:marBottom w:val="0"/>
      <w:divBdr>
        <w:top w:val="none" w:sz="0" w:space="0" w:color="auto"/>
        <w:left w:val="none" w:sz="0" w:space="0" w:color="auto"/>
        <w:bottom w:val="none" w:sz="0" w:space="0" w:color="auto"/>
        <w:right w:val="none" w:sz="0" w:space="0" w:color="auto"/>
      </w:divBdr>
    </w:div>
    <w:div w:id="1440027467">
      <w:bodyDiv w:val="1"/>
      <w:marLeft w:val="0"/>
      <w:marRight w:val="0"/>
      <w:marTop w:val="0"/>
      <w:marBottom w:val="0"/>
      <w:divBdr>
        <w:top w:val="none" w:sz="0" w:space="0" w:color="auto"/>
        <w:left w:val="none" w:sz="0" w:space="0" w:color="auto"/>
        <w:bottom w:val="none" w:sz="0" w:space="0" w:color="auto"/>
        <w:right w:val="none" w:sz="0" w:space="0" w:color="auto"/>
      </w:divBdr>
      <w:divsChild>
        <w:div w:id="189101433">
          <w:marLeft w:val="547"/>
          <w:marRight w:val="0"/>
          <w:marTop w:val="72"/>
          <w:marBottom w:val="0"/>
          <w:divBdr>
            <w:top w:val="none" w:sz="0" w:space="0" w:color="auto"/>
            <w:left w:val="none" w:sz="0" w:space="0" w:color="auto"/>
            <w:bottom w:val="none" w:sz="0" w:space="0" w:color="auto"/>
            <w:right w:val="none" w:sz="0" w:space="0" w:color="auto"/>
          </w:divBdr>
        </w:div>
        <w:div w:id="1082944992">
          <w:marLeft w:val="1166"/>
          <w:marRight w:val="0"/>
          <w:marTop w:val="62"/>
          <w:marBottom w:val="0"/>
          <w:divBdr>
            <w:top w:val="none" w:sz="0" w:space="0" w:color="auto"/>
            <w:left w:val="none" w:sz="0" w:space="0" w:color="auto"/>
            <w:bottom w:val="none" w:sz="0" w:space="0" w:color="auto"/>
            <w:right w:val="none" w:sz="0" w:space="0" w:color="auto"/>
          </w:divBdr>
        </w:div>
        <w:div w:id="1318536939">
          <w:marLeft w:val="1166"/>
          <w:marRight w:val="0"/>
          <w:marTop w:val="62"/>
          <w:marBottom w:val="0"/>
          <w:divBdr>
            <w:top w:val="none" w:sz="0" w:space="0" w:color="auto"/>
            <w:left w:val="none" w:sz="0" w:space="0" w:color="auto"/>
            <w:bottom w:val="none" w:sz="0" w:space="0" w:color="auto"/>
            <w:right w:val="none" w:sz="0" w:space="0" w:color="auto"/>
          </w:divBdr>
        </w:div>
      </w:divsChild>
    </w:div>
    <w:div w:id="1440569202">
      <w:bodyDiv w:val="1"/>
      <w:marLeft w:val="0"/>
      <w:marRight w:val="0"/>
      <w:marTop w:val="0"/>
      <w:marBottom w:val="0"/>
      <w:divBdr>
        <w:top w:val="none" w:sz="0" w:space="0" w:color="auto"/>
        <w:left w:val="none" w:sz="0" w:space="0" w:color="auto"/>
        <w:bottom w:val="none" w:sz="0" w:space="0" w:color="auto"/>
        <w:right w:val="none" w:sz="0" w:space="0" w:color="auto"/>
      </w:divBdr>
    </w:div>
    <w:div w:id="1447696609">
      <w:bodyDiv w:val="1"/>
      <w:marLeft w:val="0"/>
      <w:marRight w:val="0"/>
      <w:marTop w:val="0"/>
      <w:marBottom w:val="0"/>
      <w:divBdr>
        <w:top w:val="none" w:sz="0" w:space="0" w:color="auto"/>
        <w:left w:val="none" w:sz="0" w:space="0" w:color="auto"/>
        <w:bottom w:val="none" w:sz="0" w:space="0" w:color="auto"/>
        <w:right w:val="none" w:sz="0" w:space="0" w:color="auto"/>
      </w:divBdr>
    </w:div>
    <w:div w:id="1453479458">
      <w:bodyDiv w:val="1"/>
      <w:marLeft w:val="0"/>
      <w:marRight w:val="0"/>
      <w:marTop w:val="0"/>
      <w:marBottom w:val="0"/>
      <w:divBdr>
        <w:top w:val="none" w:sz="0" w:space="0" w:color="auto"/>
        <w:left w:val="none" w:sz="0" w:space="0" w:color="auto"/>
        <w:bottom w:val="none" w:sz="0" w:space="0" w:color="auto"/>
        <w:right w:val="none" w:sz="0" w:space="0" w:color="auto"/>
      </w:divBdr>
    </w:div>
    <w:div w:id="1456947908">
      <w:bodyDiv w:val="1"/>
      <w:marLeft w:val="0"/>
      <w:marRight w:val="0"/>
      <w:marTop w:val="0"/>
      <w:marBottom w:val="0"/>
      <w:divBdr>
        <w:top w:val="none" w:sz="0" w:space="0" w:color="auto"/>
        <w:left w:val="none" w:sz="0" w:space="0" w:color="auto"/>
        <w:bottom w:val="none" w:sz="0" w:space="0" w:color="auto"/>
        <w:right w:val="none" w:sz="0" w:space="0" w:color="auto"/>
      </w:divBdr>
    </w:div>
    <w:div w:id="1465347335">
      <w:bodyDiv w:val="1"/>
      <w:marLeft w:val="0"/>
      <w:marRight w:val="0"/>
      <w:marTop w:val="0"/>
      <w:marBottom w:val="0"/>
      <w:divBdr>
        <w:top w:val="none" w:sz="0" w:space="0" w:color="auto"/>
        <w:left w:val="none" w:sz="0" w:space="0" w:color="auto"/>
        <w:bottom w:val="none" w:sz="0" w:space="0" w:color="auto"/>
        <w:right w:val="none" w:sz="0" w:space="0" w:color="auto"/>
      </w:divBdr>
    </w:div>
    <w:div w:id="1466973234">
      <w:bodyDiv w:val="1"/>
      <w:marLeft w:val="0"/>
      <w:marRight w:val="0"/>
      <w:marTop w:val="0"/>
      <w:marBottom w:val="0"/>
      <w:divBdr>
        <w:top w:val="none" w:sz="0" w:space="0" w:color="auto"/>
        <w:left w:val="none" w:sz="0" w:space="0" w:color="auto"/>
        <w:bottom w:val="none" w:sz="0" w:space="0" w:color="auto"/>
        <w:right w:val="none" w:sz="0" w:space="0" w:color="auto"/>
      </w:divBdr>
    </w:div>
    <w:div w:id="1493250367">
      <w:bodyDiv w:val="1"/>
      <w:marLeft w:val="0"/>
      <w:marRight w:val="0"/>
      <w:marTop w:val="0"/>
      <w:marBottom w:val="0"/>
      <w:divBdr>
        <w:top w:val="none" w:sz="0" w:space="0" w:color="auto"/>
        <w:left w:val="none" w:sz="0" w:space="0" w:color="auto"/>
        <w:bottom w:val="none" w:sz="0" w:space="0" w:color="auto"/>
        <w:right w:val="none" w:sz="0" w:space="0" w:color="auto"/>
      </w:divBdr>
    </w:div>
    <w:div w:id="1498112597">
      <w:bodyDiv w:val="1"/>
      <w:marLeft w:val="0"/>
      <w:marRight w:val="0"/>
      <w:marTop w:val="0"/>
      <w:marBottom w:val="0"/>
      <w:divBdr>
        <w:top w:val="none" w:sz="0" w:space="0" w:color="auto"/>
        <w:left w:val="none" w:sz="0" w:space="0" w:color="auto"/>
        <w:bottom w:val="none" w:sz="0" w:space="0" w:color="auto"/>
        <w:right w:val="none" w:sz="0" w:space="0" w:color="auto"/>
      </w:divBdr>
    </w:div>
    <w:div w:id="1499997587">
      <w:bodyDiv w:val="1"/>
      <w:marLeft w:val="0"/>
      <w:marRight w:val="0"/>
      <w:marTop w:val="0"/>
      <w:marBottom w:val="0"/>
      <w:divBdr>
        <w:top w:val="none" w:sz="0" w:space="0" w:color="auto"/>
        <w:left w:val="none" w:sz="0" w:space="0" w:color="auto"/>
        <w:bottom w:val="none" w:sz="0" w:space="0" w:color="auto"/>
        <w:right w:val="none" w:sz="0" w:space="0" w:color="auto"/>
      </w:divBdr>
    </w:div>
    <w:div w:id="1502699161">
      <w:bodyDiv w:val="1"/>
      <w:marLeft w:val="0"/>
      <w:marRight w:val="0"/>
      <w:marTop w:val="0"/>
      <w:marBottom w:val="0"/>
      <w:divBdr>
        <w:top w:val="none" w:sz="0" w:space="0" w:color="auto"/>
        <w:left w:val="none" w:sz="0" w:space="0" w:color="auto"/>
        <w:bottom w:val="none" w:sz="0" w:space="0" w:color="auto"/>
        <w:right w:val="none" w:sz="0" w:space="0" w:color="auto"/>
      </w:divBdr>
    </w:div>
    <w:div w:id="1505587241">
      <w:bodyDiv w:val="1"/>
      <w:marLeft w:val="0"/>
      <w:marRight w:val="0"/>
      <w:marTop w:val="0"/>
      <w:marBottom w:val="0"/>
      <w:divBdr>
        <w:top w:val="none" w:sz="0" w:space="0" w:color="auto"/>
        <w:left w:val="none" w:sz="0" w:space="0" w:color="auto"/>
        <w:bottom w:val="none" w:sz="0" w:space="0" w:color="auto"/>
        <w:right w:val="none" w:sz="0" w:space="0" w:color="auto"/>
      </w:divBdr>
    </w:div>
    <w:div w:id="1508979459">
      <w:bodyDiv w:val="1"/>
      <w:marLeft w:val="0"/>
      <w:marRight w:val="0"/>
      <w:marTop w:val="0"/>
      <w:marBottom w:val="0"/>
      <w:divBdr>
        <w:top w:val="none" w:sz="0" w:space="0" w:color="auto"/>
        <w:left w:val="none" w:sz="0" w:space="0" w:color="auto"/>
        <w:bottom w:val="none" w:sz="0" w:space="0" w:color="auto"/>
        <w:right w:val="none" w:sz="0" w:space="0" w:color="auto"/>
      </w:divBdr>
    </w:div>
    <w:div w:id="1529827549">
      <w:bodyDiv w:val="1"/>
      <w:marLeft w:val="0"/>
      <w:marRight w:val="0"/>
      <w:marTop w:val="0"/>
      <w:marBottom w:val="0"/>
      <w:divBdr>
        <w:top w:val="none" w:sz="0" w:space="0" w:color="auto"/>
        <w:left w:val="none" w:sz="0" w:space="0" w:color="auto"/>
        <w:bottom w:val="none" w:sz="0" w:space="0" w:color="auto"/>
        <w:right w:val="none" w:sz="0" w:space="0" w:color="auto"/>
      </w:divBdr>
    </w:div>
    <w:div w:id="1532261394">
      <w:bodyDiv w:val="1"/>
      <w:marLeft w:val="0"/>
      <w:marRight w:val="0"/>
      <w:marTop w:val="0"/>
      <w:marBottom w:val="0"/>
      <w:divBdr>
        <w:top w:val="none" w:sz="0" w:space="0" w:color="auto"/>
        <w:left w:val="none" w:sz="0" w:space="0" w:color="auto"/>
        <w:bottom w:val="none" w:sz="0" w:space="0" w:color="auto"/>
        <w:right w:val="none" w:sz="0" w:space="0" w:color="auto"/>
      </w:divBdr>
    </w:div>
    <w:div w:id="1535342127">
      <w:bodyDiv w:val="1"/>
      <w:marLeft w:val="0"/>
      <w:marRight w:val="0"/>
      <w:marTop w:val="0"/>
      <w:marBottom w:val="0"/>
      <w:divBdr>
        <w:top w:val="none" w:sz="0" w:space="0" w:color="auto"/>
        <w:left w:val="none" w:sz="0" w:space="0" w:color="auto"/>
        <w:bottom w:val="none" w:sz="0" w:space="0" w:color="auto"/>
        <w:right w:val="none" w:sz="0" w:space="0" w:color="auto"/>
      </w:divBdr>
    </w:div>
    <w:div w:id="1542666554">
      <w:bodyDiv w:val="1"/>
      <w:marLeft w:val="0"/>
      <w:marRight w:val="0"/>
      <w:marTop w:val="0"/>
      <w:marBottom w:val="0"/>
      <w:divBdr>
        <w:top w:val="none" w:sz="0" w:space="0" w:color="auto"/>
        <w:left w:val="none" w:sz="0" w:space="0" w:color="auto"/>
        <w:bottom w:val="none" w:sz="0" w:space="0" w:color="auto"/>
        <w:right w:val="none" w:sz="0" w:space="0" w:color="auto"/>
      </w:divBdr>
    </w:div>
    <w:div w:id="1546479462">
      <w:bodyDiv w:val="1"/>
      <w:marLeft w:val="0"/>
      <w:marRight w:val="0"/>
      <w:marTop w:val="0"/>
      <w:marBottom w:val="0"/>
      <w:divBdr>
        <w:top w:val="none" w:sz="0" w:space="0" w:color="auto"/>
        <w:left w:val="none" w:sz="0" w:space="0" w:color="auto"/>
        <w:bottom w:val="none" w:sz="0" w:space="0" w:color="auto"/>
        <w:right w:val="none" w:sz="0" w:space="0" w:color="auto"/>
      </w:divBdr>
    </w:div>
    <w:div w:id="1550847686">
      <w:bodyDiv w:val="1"/>
      <w:marLeft w:val="0"/>
      <w:marRight w:val="0"/>
      <w:marTop w:val="0"/>
      <w:marBottom w:val="0"/>
      <w:divBdr>
        <w:top w:val="none" w:sz="0" w:space="0" w:color="auto"/>
        <w:left w:val="none" w:sz="0" w:space="0" w:color="auto"/>
        <w:bottom w:val="none" w:sz="0" w:space="0" w:color="auto"/>
        <w:right w:val="none" w:sz="0" w:space="0" w:color="auto"/>
      </w:divBdr>
    </w:div>
    <w:div w:id="1574975143">
      <w:bodyDiv w:val="1"/>
      <w:marLeft w:val="0"/>
      <w:marRight w:val="0"/>
      <w:marTop w:val="0"/>
      <w:marBottom w:val="0"/>
      <w:divBdr>
        <w:top w:val="none" w:sz="0" w:space="0" w:color="auto"/>
        <w:left w:val="none" w:sz="0" w:space="0" w:color="auto"/>
        <w:bottom w:val="none" w:sz="0" w:space="0" w:color="auto"/>
        <w:right w:val="none" w:sz="0" w:space="0" w:color="auto"/>
      </w:divBdr>
    </w:div>
    <w:div w:id="1586456961">
      <w:bodyDiv w:val="1"/>
      <w:marLeft w:val="30"/>
      <w:marRight w:val="30"/>
      <w:marTop w:val="0"/>
      <w:marBottom w:val="0"/>
      <w:divBdr>
        <w:top w:val="none" w:sz="0" w:space="0" w:color="auto"/>
        <w:left w:val="none" w:sz="0" w:space="0" w:color="auto"/>
        <w:bottom w:val="none" w:sz="0" w:space="0" w:color="auto"/>
        <w:right w:val="none" w:sz="0" w:space="0" w:color="auto"/>
      </w:divBdr>
      <w:divsChild>
        <w:div w:id="1032417957">
          <w:marLeft w:val="0"/>
          <w:marRight w:val="0"/>
          <w:marTop w:val="0"/>
          <w:marBottom w:val="0"/>
          <w:divBdr>
            <w:top w:val="none" w:sz="0" w:space="0" w:color="auto"/>
            <w:left w:val="none" w:sz="0" w:space="0" w:color="auto"/>
            <w:bottom w:val="none" w:sz="0" w:space="0" w:color="auto"/>
            <w:right w:val="none" w:sz="0" w:space="0" w:color="auto"/>
          </w:divBdr>
          <w:divsChild>
            <w:div w:id="390229064">
              <w:marLeft w:val="0"/>
              <w:marRight w:val="0"/>
              <w:marTop w:val="0"/>
              <w:marBottom w:val="0"/>
              <w:divBdr>
                <w:top w:val="none" w:sz="0" w:space="0" w:color="auto"/>
                <w:left w:val="none" w:sz="0" w:space="0" w:color="auto"/>
                <w:bottom w:val="none" w:sz="0" w:space="0" w:color="auto"/>
                <w:right w:val="none" w:sz="0" w:space="0" w:color="auto"/>
              </w:divBdr>
              <w:divsChild>
                <w:div w:id="710300612">
                  <w:marLeft w:val="180"/>
                  <w:marRight w:val="0"/>
                  <w:marTop w:val="0"/>
                  <w:marBottom w:val="0"/>
                  <w:divBdr>
                    <w:top w:val="none" w:sz="0" w:space="0" w:color="auto"/>
                    <w:left w:val="none" w:sz="0" w:space="0" w:color="auto"/>
                    <w:bottom w:val="none" w:sz="0" w:space="0" w:color="auto"/>
                    <w:right w:val="none" w:sz="0" w:space="0" w:color="auto"/>
                  </w:divBdr>
                  <w:divsChild>
                    <w:div w:id="11839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84662">
      <w:bodyDiv w:val="1"/>
      <w:marLeft w:val="0"/>
      <w:marRight w:val="0"/>
      <w:marTop w:val="0"/>
      <w:marBottom w:val="0"/>
      <w:divBdr>
        <w:top w:val="none" w:sz="0" w:space="0" w:color="auto"/>
        <w:left w:val="none" w:sz="0" w:space="0" w:color="auto"/>
        <w:bottom w:val="none" w:sz="0" w:space="0" w:color="auto"/>
        <w:right w:val="none" w:sz="0" w:space="0" w:color="auto"/>
      </w:divBdr>
    </w:div>
    <w:div w:id="1597398648">
      <w:bodyDiv w:val="1"/>
      <w:marLeft w:val="0"/>
      <w:marRight w:val="0"/>
      <w:marTop w:val="0"/>
      <w:marBottom w:val="0"/>
      <w:divBdr>
        <w:top w:val="none" w:sz="0" w:space="0" w:color="auto"/>
        <w:left w:val="none" w:sz="0" w:space="0" w:color="auto"/>
        <w:bottom w:val="none" w:sz="0" w:space="0" w:color="auto"/>
        <w:right w:val="none" w:sz="0" w:space="0" w:color="auto"/>
      </w:divBdr>
    </w:div>
    <w:div w:id="1601715178">
      <w:bodyDiv w:val="1"/>
      <w:marLeft w:val="0"/>
      <w:marRight w:val="0"/>
      <w:marTop w:val="0"/>
      <w:marBottom w:val="0"/>
      <w:divBdr>
        <w:top w:val="none" w:sz="0" w:space="0" w:color="auto"/>
        <w:left w:val="none" w:sz="0" w:space="0" w:color="auto"/>
        <w:bottom w:val="none" w:sz="0" w:space="0" w:color="auto"/>
        <w:right w:val="none" w:sz="0" w:space="0" w:color="auto"/>
      </w:divBdr>
    </w:div>
    <w:div w:id="1604874548">
      <w:bodyDiv w:val="1"/>
      <w:marLeft w:val="0"/>
      <w:marRight w:val="0"/>
      <w:marTop w:val="0"/>
      <w:marBottom w:val="0"/>
      <w:divBdr>
        <w:top w:val="none" w:sz="0" w:space="0" w:color="auto"/>
        <w:left w:val="none" w:sz="0" w:space="0" w:color="auto"/>
        <w:bottom w:val="none" w:sz="0" w:space="0" w:color="auto"/>
        <w:right w:val="none" w:sz="0" w:space="0" w:color="auto"/>
      </w:divBdr>
    </w:div>
    <w:div w:id="1609463042">
      <w:bodyDiv w:val="1"/>
      <w:marLeft w:val="0"/>
      <w:marRight w:val="0"/>
      <w:marTop w:val="0"/>
      <w:marBottom w:val="0"/>
      <w:divBdr>
        <w:top w:val="none" w:sz="0" w:space="0" w:color="auto"/>
        <w:left w:val="none" w:sz="0" w:space="0" w:color="auto"/>
        <w:bottom w:val="none" w:sz="0" w:space="0" w:color="auto"/>
        <w:right w:val="none" w:sz="0" w:space="0" w:color="auto"/>
      </w:divBdr>
    </w:div>
    <w:div w:id="1620065895">
      <w:bodyDiv w:val="1"/>
      <w:marLeft w:val="0"/>
      <w:marRight w:val="0"/>
      <w:marTop w:val="0"/>
      <w:marBottom w:val="0"/>
      <w:divBdr>
        <w:top w:val="none" w:sz="0" w:space="0" w:color="auto"/>
        <w:left w:val="none" w:sz="0" w:space="0" w:color="auto"/>
        <w:bottom w:val="none" w:sz="0" w:space="0" w:color="auto"/>
        <w:right w:val="none" w:sz="0" w:space="0" w:color="auto"/>
      </w:divBdr>
    </w:div>
    <w:div w:id="1621764896">
      <w:bodyDiv w:val="1"/>
      <w:marLeft w:val="0"/>
      <w:marRight w:val="0"/>
      <w:marTop w:val="0"/>
      <w:marBottom w:val="0"/>
      <w:divBdr>
        <w:top w:val="none" w:sz="0" w:space="0" w:color="auto"/>
        <w:left w:val="none" w:sz="0" w:space="0" w:color="auto"/>
        <w:bottom w:val="none" w:sz="0" w:space="0" w:color="auto"/>
        <w:right w:val="none" w:sz="0" w:space="0" w:color="auto"/>
      </w:divBdr>
    </w:div>
    <w:div w:id="1638490394">
      <w:bodyDiv w:val="1"/>
      <w:marLeft w:val="0"/>
      <w:marRight w:val="0"/>
      <w:marTop w:val="0"/>
      <w:marBottom w:val="0"/>
      <w:divBdr>
        <w:top w:val="none" w:sz="0" w:space="0" w:color="auto"/>
        <w:left w:val="none" w:sz="0" w:space="0" w:color="auto"/>
        <w:bottom w:val="none" w:sz="0" w:space="0" w:color="auto"/>
        <w:right w:val="none" w:sz="0" w:space="0" w:color="auto"/>
      </w:divBdr>
    </w:div>
    <w:div w:id="1642423025">
      <w:bodyDiv w:val="1"/>
      <w:marLeft w:val="0"/>
      <w:marRight w:val="0"/>
      <w:marTop w:val="0"/>
      <w:marBottom w:val="0"/>
      <w:divBdr>
        <w:top w:val="none" w:sz="0" w:space="0" w:color="auto"/>
        <w:left w:val="none" w:sz="0" w:space="0" w:color="auto"/>
        <w:bottom w:val="none" w:sz="0" w:space="0" w:color="auto"/>
        <w:right w:val="none" w:sz="0" w:space="0" w:color="auto"/>
      </w:divBdr>
    </w:div>
    <w:div w:id="1648894905">
      <w:bodyDiv w:val="1"/>
      <w:marLeft w:val="0"/>
      <w:marRight w:val="0"/>
      <w:marTop w:val="0"/>
      <w:marBottom w:val="0"/>
      <w:divBdr>
        <w:top w:val="none" w:sz="0" w:space="0" w:color="auto"/>
        <w:left w:val="none" w:sz="0" w:space="0" w:color="auto"/>
        <w:bottom w:val="none" w:sz="0" w:space="0" w:color="auto"/>
        <w:right w:val="none" w:sz="0" w:space="0" w:color="auto"/>
      </w:divBdr>
    </w:div>
    <w:div w:id="1650210961">
      <w:bodyDiv w:val="1"/>
      <w:marLeft w:val="0"/>
      <w:marRight w:val="0"/>
      <w:marTop w:val="0"/>
      <w:marBottom w:val="0"/>
      <w:divBdr>
        <w:top w:val="none" w:sz="0" w:space="0" w:color="auto"/>
        <w:left w:val="none" w:sz="0" w:space="0" w:color="auto"/>
        <w:bottom w:val="none" w:sz="0" w:space="0" w:color="auto"/>
        <w:right w:val="none" w:sz="0" w:space="0" w:color="auto"/>
      </w:divBdr>
    </w:div>
    <w:div w:id="1653679137">
      <w:bodyDiv w:val="1"/>
      <w:marLeft w:val="0"/>
      <w:marRight w:val="0"/>
      <w:marTop w:val="0"/>
      <w:marBottom w:val="0"/>
      <w:divBdr>
        <w:top w:val="none" w:sz="0" w:space="0" w:color="auto"/>
        <w:left w:val="none" w:sz="0" w:space="0" w:color="auto"/>
        <w:bottom w:val="none" w:sz="0" w:space="0" w:color="auto"/>
        <w:right w:val="none" w:sz="0" w:space="0" w:color="auto"/>
      </w:divBdr>
    </w:div>
    <w:div w:id="1654487717">
      <w:bodyDiv w:val="1"/>
      <w:marLeft w:val="0"/>
      <w:marRight w:val="0"/>
      <w:marTop w:val="0"/>
      <w:marBottom w:val="0"/>
      <w:divBdr>
        <w:top w:val="none" w:sz="0" w:space="0" w:color="auto"/>
        <w:left w:val="none" w:sz="0" w:space="0" w:color="auto"/>
        <w:bottom w:val="none" w:sz="0" w:space="0" w:color="auto"/>
        <w:right w:val="none" w:sz="0" w:space="0" w:color="auto"/>
      </w:divBdr>
    </w:div>
    <w:div w:id="1662460848">
      <w:bodyDiv w:val="1"/>
      <w:marLeft w:val="0"/>
      <w:marRight w:val="0"/>
      <w:marTop w:val="0"/>
      <w:marBottom w:val="0"/>
      <w:divBdr>
        <w:top w:val="none" w:sz="0" w:space="0" w:color="auto"/>
        <w:left w:val="none" w:sz="0" w:space="0" w:color="auto"/>
        <w:bottom w:val="none" w:sz="0" w:space="0" w:color="auto"/>
        <w:right w:val="none" w:sz="0" w:space="0" w:color="auto"/>
      </w:divBdr>
    </w:div>
    <w:div w:id="1666546678">
      <w:bodyDiv w:val="1"/>
      <w:marLeft w:val="0"/>
      <w:marRight w:val="0"/>
      <w:marTop w:val="0"/>
      <w:marBottom w:val="0"/>
      <w:divBdr>
        <w:top w:val="none" w:sz="0" w:space="0" w:color="auto"/>
        <w:left w:val="none" w:sz="0" w:space="0" w:color="auto"/>
        <w:bottom w:val="none" w:sz="0" w:space="0" w:color="auto"/>
        <w:right w:val="none" w:sz="0" w:space="0" w:color="auto"/>
      </w:divBdr>
    </w:div>
    <w:div w:id="1666593253">
      <w:bodyDiv w:val="1"/>
      <w:marLeft w:val="0"/>
      <w:marRight w:val="0"/>
      <w:marTop w:val="0"/>
      <w:marBottom w:val="0"/>
      <w:divBdr>
        <w:top w:val="none" w:sz="0" w:space="0" w:color="auto"/>
        <w:left w:val="none" w:sz="0" w:space="0" w:color="auto"/>
        <w:bottom w:val="none" w:sz="0" w:space="0" w:color="auto"/>
        <w:right w:val="none" w:sz="0" w:space="0" w:color="auto"/>
      </w:divBdr>
    </w:div>
    <w:div w:id="1674407982">
      <w:bodyDiv w:val="1"/>
      <w:marLeft w:val="0"/>
      <w:marRight w:val="0"/>
      <w:marTop w:val="0"/>
      <w:marBottom w:val="0"/>
      <w:divBdr>
        <w:top w:val="none" w:sz="0" w:space="0" w:color="auto"/>
        <w:left w:val="none" w:sz="0" w:space="0" w:color="auto"/>
        <w:bottom w:val="none" w:sz="0" w:space="0" w:color="auto"/>
        <w:right w:val="none" w:sz="0" w:space="0" w:color="auto"/>
      </w:divBdr>
    </w:div>
    <w:div w:id="1675494521">
      <w:bodyDiv w:val="1"/>
      <w:marLeft w:val="0"/>
      <w:marRight w:val="0"/>
      <w:marTop w:val="0"/>
      <w:marBottom w:val="0"/>
      <w:divBdr>
        <w:top w:val="none" w:sz="0" w:space="0" w:color="auto"/>
        <w:left w:val="none" w:sz="0" w:space="0" w:color="auto"/>
        <w:bottom w:val="none" w:sz="0" w:space="0" w:color="auto"/>
        <w:right w:val="none" w:sz="0" w:space="0" w:color="auto"/>
      </w:divBdr>
    </w:div>
    <w:div w:id="1681465467">
      <w:bodyDiv w:val="1"/>
      <w:marLeft w:val="0"/>
      <w:marRight w:val="0"/>
      <w:marTop w:val="0"/>
      <w:marBottom w:val="0"/>
      <w:divBdr>
        <w:top w:val="none" w:sz="0" w:space="0" w:color="auto"/>
        <w:left w:val="none" w:sz="0" w:space="0" w:color="auto"/>
        <w:bottom w:val="none" w:sz="0" w:space="0" w:color="auto"/>
        <w:right w:val="none" w:sz="0" w:space="0" w:color="auto"/>
      </w:divBdr>
    </w:div>
    <w:div w:id="1682973787">
      <w:bodyDiv w:val="1"/>
      <w:marLeft w:val="0"/>
      <w:marRight w:val="0"/>
      <w:marTop w:val="0"/>
      <w:marBottom w:val="0"/>
      <w:divBdr>
        <w:top w:val="none" w:sz="0" w:space="0" w:color="auto"/>
        <w:left w:val="none" w:sz="0" w:space="0" w:color="auto"/>
        <w:bottom w:val="none" w:sz="0" w:space="0" w:color="auto"/>
        <w:right w:val="none" w:sz="0" w:space="0" w:color="auto"/>
      </w:divBdr>
    </w:div>
    <w:div w:id="1696227612">
      <w:bodyDiv w:val="1"/>
      <w:marLeft w:val="0"/>
      <w:marRight w:val="0"/>
      <w:marTop w:val="0"/>
      <w:marBottom w:val="0"/>
      <w:divBdr>
        <w:top w:val="none" w:sz="0" w:space="0" w:color="auto"/>
        <w:left w:val="none" w:sz="0" w:space="0" w:color="auto"/>
        <w:bottom w:val="none" w:sz="0" w:space="0" w:color="auto"/>
        <w:right w:val="none" w:sz="0" w:space="0" w:color="auto"/>
      </w:divBdr>
    </w:div>
    <w:div w:id="1701124178">
      <w:bodyDiv w:val="1"/>
      <w:marLeft w:val="0"/>
      <w:marRight w:val="0"/>
      <w:marTop w:val="0"/>
      <w:marBottom w:val="0"/>
      <w:divBdr>
        <w:top w:val="none" w:sz="0" w:space="0" w:color="auto"/>
        <w:left w:val="none" w:sz="0" w:space="0" w:color="auto"/>
        <w:bottom w:val="none" w:sz="0" w:space="0" w:color="auto"/>
        <w:right w:val="none" w:sz="0" w:space="0" w:color="auto"/>
      </w:divBdr>
      <w:divsChild>
        <w:div w:id="2131706554">
          <w:marLeft w:val="0"/>
          <w:marRight w:val="0"/>
          <w:marTop w:val="0"/>
          <w:marBottom w:val="0"/>
          <w:divBdr>
            <w:top w:val="none" w:sz="0" w:space="0" w:color="auto"/>
            <w:left w:val="none" w:sz="0" w:space="0" w:color="auto"/>
            <w:bottom w:val="none" w:sz="0" w:space="0" w:color="auto"/>
            <w:right w:val="none" w:sz="0" w:space="0" w:color="auto"/>
          </w:divBdr>
          <w:divsChild>
            <w:div w:id="1869947426">
              <w:marLeft w:val="0"/>
              <w:marRight w:val="0"/>
              <w:marTop w:val="0"/>
              <w:marBottom w:val="0"/>
              <w:divBdr>
                <w:top w:val="none" w:sz="0" w:space="0" w:color="auto"/>
                <w:left w:val="none" w:sz="0" w:space="0" w:color="auto"/>
                <w:bottom w:val="none" w:sz="0" w:space="0" w:color="auto"/>
                <w:right w:val="none" w:sz="0" w:space="0" w:color="auto"/>
              </w:divBdr>
              <w:divsChild>
                <w:div w:id="849100720">
                  <w:marLeft w:val="0"/>
                  <w:marRight w:val="0"/>
                  <w:marTop w:val="0"/>
                  <w:marBottom w:val="0"/>
                  <w:divBdr>
                    <w:top w:val="none" w:sz="0" w:space="0" w:color="auto"/>
                    <w:left w:val="none" w:sz="0" w:space="0" w:color="auto"/>
                    <w:bottom w:val="none" w:sz="0" w:space="0" w:color="auto"/>
                    <w:right w:val="none" w:sz="0" w:space="0" w:color="auto"/>
                  </w:divBdr>
                  <w:divsChild>
                    <w:div w:id="331302401">
                      <w:marLeft w:val="0"/>
                      <w:marRight w:val="0"/>
                      <w:marTop w:val="0"/>
                      <w:marBottom w:val="0"/>
                      <w:divBdr>
                        <w:top w:val="none" w:sz="0" w:space="0" w:color="auto"/>
                        <w:left w:val="none" w:sz="0" w:space="0" w:color="auto"/>
                        <w:bottom w:val="none" w:sz="0" w:space="0" w:color="auto"/>
                        <w:right w:val="none" w:sz="0" w:space="0" w:color="auto"/>
                      </w:divBdr>
                      <w:divsChild>
                        <w:div w:id="120266791">
                          <w:marLeft w:val="0"/>
                          <w:marRight w:val="0"/>
                          <w:marTop w:val="0"/>
                          <w:marBottom w:val="0"/>
                          <w:divBdr>
                            <w:top w:val="none" w:sz="0" w:space="0" w:color="auto"/>
                            <w:left w:val="none" w:sz="0" w:space="0" w:color="auto"/>
                            <w:bottom w:val="none" w:sz="0" w:space="0" w:color="auto"/>
                            <w:right w:val="none" w:sz="0" w:space="0" w:color="auto"/>
                          </w:divBdr>
                          <w:divsChild>
                            <w:div w:id="1269579594">
                              <w:marLeft w:val="0"/>
                              <w:marRight w:val="0"/>
                              <w:marTop w:val="0"/>
                              <w:marBottom w:val="0"/>
                              <w:divBdr>
                                <w:top w:val="none" w:sz="0" w:space="0" w:color="auto"/>
                                <w:left w:val="none" w:sz="0" w:space="0" w:color="auto"/>
                                <w:bottom w:val="none" w:sz="0" w:space="0" w:color="auto"/>
                                <w:right w:val="none" w:sz="0" w:space="0" w:color="auto"/>
                              </w:divBdr>
                              <w:divsChild>
                                <w:div w:id="2022927236">
                                  <w:marLeft w:val="0"/>
                                  <w:marRight w:val="0"/>
                                  <w:marTop w:val="0"/>
                                  <w:marBottom w:val="0"/>
                                  <w:divBdr>
                                    <w:top w:val="none" w:sz="0" w:space="0" w:color="auto"/>
                                    <w:left w:val="none" w:sz="0" w:space="0" w:color="auto"/>
                                    <w:bottom w:val="none" w:sz="0" w:space="0" w:color="auto"/>
                                    <w:right w:val="none" w:sz="0" w:space="0" w:color="auto"/>
                                  </w:divBdr>
                                  <w:divsChild>
                                    <w:div w:id="560139888">
                                      <w:marLeft w:val="0"/>
                                      <w:marRight w:val="0"/>
                                      <w:marTop w:val="0"/>
                                      <w:marBottom w:val="0"/>
                                      <w:divBdr>
                                        <w:top w:val="none" w:sz="0" w:space="0" w:color="auto"/>
                                        <w:left w:val="none" w:sz="0" w:space="0" w:color="auto"/>
                                        <w:bottom w:val="none" w:sz="0" w:space="0" w:color="auto"/>
                                        <w:right w:val="none" w:sz="0" w:space="0" w:color="auto"/>
                                      </w:divBdr>
                                      <w:divsChild>
                                        <w:div w:id="630476856">
                                          <w:marLeft w:val="0"/>
                                          <w:marRight w:val="0"/>
                                          <w:marTop w:val="0"/>
                                          <w:marBottom w:val="0"/>
                                          <w:divBdr>
                                            <w:top w:val="none" w:sz="0" w:space="0" w:color="auto"/>
                                            <w:left w:val="none" w:sz="0" w:space="0" w:color="auto"/>
                                            <w:bottom w:val="none" w:sz="0" w:space="0" w:color="auto"/>
                                            <w:right w:val="none" w:sz="0" w:space="0" w:color="auto"/>
                                          </w:divBdr>
                                        </w:div>
                                        <w:div w:id="1110248788">
                                          <w:marLeft w:val="0"/>
                                          <w:marRight w:val="0"/>
                                          <w:marTop w:val="0"/>
                                          <w:marBottom w:val="0"/>
                                          <w:divBdr>
                                            <w:top w:val="none" w:sz="0" w:space="0" w:color="auto"/>
                                            <w:left w:val="none" w:sz="0" w:space="0" w:color="auto"/>
                                            <w:bottom w:val="none" w:sz="0" w:space="0" w:color="auto"/>
                                            <w:right w:val="none" w:sz="0" w:space="0" w:color="auto"/>
                                          </w:divBdr>
                                        </w:div>
                                        <w:div w:id="1435250046">
                                          <w:marLeft w:val="0"/>
                                          <w:marRight w:val="0"/>
                                          <w:marTop w:val="0"/>
                                          <w:marBottom w:val="0"/>
                                          <w:divBdr>
                                            <w:top w:val="none" w:sz="0" w:space="0" w:color="auto"/>
                                            <w:left w:val="none" w:sz="0" w:space="0" w:color="auto"/>
                                            <w:bottom w:val="none" w:sz="0" w:space="0" w:color="auto"/>
                                            <w:right w:val="none" w:sz="0" w:space="0" w:color="auto"/>
                                          </w:divBdr>
                                        </w:div>
                                        <w:div w:id="15930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737539">
      <w:bodyDiv w:val="1"/>
      <w:marLeft w:val="0"/>
      <w:marRight w:val="0"/>
      <w:marTop w:val="0"/>
      <w:marBottom w:val="0"/>
      <w:divBdr>
        <w:top w:val="none" w:sz="0" w:space="0" w:color="auto"/>
        <w:left w:val="none" w:sz="0" w:space="0" w:color="auto"/>
        <w:bottom w:val="none" w:sz="0" w:space="0" w:color="auto"/>
        <w:right w:val="none" w:sz="0" w:space="0" w:color="auto"/>
      </w:divBdr>
    </w:div>
    <w:div w:id="1710647675">
      <w:bodyDiv w:val="1"/>
      <w:marLeft w:val="0"/>
      <w:marRight w:val="0"/>
      <w:marTop w:val="0"/>
      <w:marBottom w:val="0"/>
      <w:divBdr>
        <w:top w:val="none" w:sz="0" w:space="0" w:color="auto"/>
        <w:left w:val="none" w:sz="0" w:space="0" w:color="auto"/>
        <w:bottom w:val="none" w:sz="0" w:space="0" w:color="auto"/>
        <w:right w:val="none" w:sz="0" w:space="0" w:color="auto"/>
      </w:divBdr>
    </w:div>
    <w:div w:id="1712456368">
      <w:bodyDiv w:val="1"/>
      <w:marLeft w:val="0"/>
      <w:marRight w:val="0"/>
      <w:marTop w:val="0"/>
      <w:marBottom w:val="0"/>
      <w:divBdr>
        <w:top w:val="none" w:sz="0" w:space="0" w:color="auto"/>
        <w:left w:val="none" w:sz="0" w:space="0" w:color="auto"/>
        <w:bottom w:val="none" w:sz="0" w:space="0" w:color="auto"/>
        <w:right w:val="none" w:sz="0" w:space="0" w:color="auto"/>
      </w:divBdr>
    </w:div>
    <w:div w:id="1728068796">
      <w:bodyDiv w:val="1"/>
      <w:marLeft w:val="0"/>
      <w:marRight w:val="0"/>
      <w:marTop w:val="0"/>
      <w:marBottom w:val="0"/>
      <w:divBdr>
        <w:top w:val="none" w:sz="0" w:space="0" w:color="auto"/>
        <w:left w:val="none" w:sz="0" w:space="0" w:color="auto"/>
        <w:bottom w:val="none" w:sz="0" w:space="0" w:color="auto"/>
        <w:right w:val="none" w:sz="0" w:space="0" w:color="auto"/>
      </w:divBdr>
    </w:div>
    <w:div w:id="1735883741">
      <w:bodyDiv w:val="1"/>
      <w:marLeft w:val="0"/>
      <w:marRight w:val="0"/>
      <w:marTop w:val="0"/>
      <w:marBottom w:val="0"/>
      <w:divBdr>
        <w:top w:val="none" w:sz="0" w:space="0" w:color="auto"/>
        <w:left w:val="none" w:sz="0" w:space="0" w:color="auto"/>
        <w:bottom w:val="none" w:sz="0" w:space="0" w:color="auto"/>
        <w:right w:val="none" w:sz="0" w:space="0" w:color="auto"/>
      </w:divBdr>
    </w:div>
    <w:div w:id="1738237219">
      <w:bodyDiv w:val="1"/>
      <w:marLeft w:val="0"/>
      <w:marRight w:val="0"/>
      <w:marTop w:val="0"/>
      <w:marBottom w:val="0"/>
      <w:divBdr>
        <w:top w:val="none" w:sz="0" w:space="0" w:color="auto"/>
        <w:left w:val="none" w:sz="0" w:space="0" w:color="auto"/>
        <w:bottom w:val="none" w:sz="0" w:space="0" w:color="auto"/>
        <w:right w:val="none" w:sz="0" w:space="0" w:color="auto"/>
      </w:divBdr>
    </w:div>
    <w:div w:id="1745252010">
      <w:bodyDiv w:val="1"/>
      <w:marLeft w:val="0"/>
      <w:marRight w:val="0"/>
      <w:marTop w:val="0"/>
      <w:marBottom w:val="0"/>
      <w:divBdr>
        <w:top w:val="none" w:sz="0" w:space="0" w:color="auto"/>
        <w:left w:val="none" w:sz="0" w:space="0" w:color="auto"/>
        <w:bottom w:val="none" w:sz="0" w:space="0" w:color="auto"/>
        <w:right w:val="none" w:sz="0" w:space="0" w:color="auto"/>
      </w:divBdr>
    </w:div>
    <w:div w:id="1747342985">
      <w:bodyDiv w:val="1"/>
      <w:marLeft w:val="0"/>
      <w:marRight w:val="0"/>
      <w:marTop w:val="0"/>
      <w:marBottom w:val="0"/>
      <w:divBdr>
        <w:top w:val="none" w:sz="0" w:space="0" w:color="auto"/>
        <w:left w:val="none" w:sz="0" w:space="0" w:color="auto"/>
        <w:bottom w:val="none" w:sz="0" w:space="0" w:color="auto"/>
        <w:right w:val="none" w:sz="0" w:space="0" w:color="auto"/>
      </w:divBdr>
    </w:div>
    <w:div w:id="1748187861">
      <w:bodyDiv w:val="1"/>
      <w:marLeft w:val="0"/>
      <w:marRight w:val="0"/>
      <w:marTop w:val="0"/>
      <w:marBottom w:val="0"/>
      <w:divBdr>
        <w:top w:val="none" w:sz="0" w:space="0" w:color="auto"/>
        <w:left w:val="none" w:sz="0" w:space="0" w:color="auto"/>
        <w:bottom w:val="none" w:sz="0" w:space="0" w:color="auto"/>
        <w:right w:val="none" w:sz="0" w:space="0" w:color="auto"/>
      </w:divBdr>
    </w:div>
    <w:div w:id="1752507123">
      <w:bodyDiv w:val="1"/>
      <w:marLeft w:val="0"/>
      <w:marRight w:val="0"/>
      <w:marTop w:val="0"/>
      <w:marBottom w:val="0"/>
      <w:divBdr>
        <w:top w:val="none" w:sz="0" w:space="0" w:color="auto"/>
        <w:left w:val="none" w:sz="0" w:space="0" w:color="auto"/>
        <w:bottom w:val="none" w:sz="0" w:space="0" w:color="auto"/>
        <w:right w:val="none" w:sz="0" w:space="0" w:color="auto"/>
      </w:divBdr>
    </w:div>
    <w:div w:id="1753382359">
      <w:bodyDiv w:val="1"/>
      <w:marLeft w:val="0"/>
      <w:marRight w:val="0"/>
      <w:marTop w:val="0"/>
      <w:marBottom w:val="0"/>
      <w:divBdr>
        <w:top w:val="none" w:sz="0" w:space="0" w:color="auto"/>
        <w:left w:val="none" w:sz="0" w:space="0" w:color="auto"/>
        <w:bottom w:val="none" w:sz="0" w:space="0" w:color="auto"/>
        <w:right w:val="none" w:sz="0" w:space="0" w:color="auto"/>
      </w:divBdr>
    </w:div>
    <w:div w:id="1753626863">
      <w:bodyDiv w:val="1"/>
      <w:marLeft w:val="0"/>
      <w:marRight w:val="0"/>
      <w:marTop w:val="0"/>
      <w:marBottom w:val="0"/>
      <w:divBdr>
        <w:top w:val="none" w:sz="0" w:space="0" w:color="auto"/>
        <w:left w:val="none" w:sz="0" w:space="0" w:color="auto"/>
        <w:bottom w:val="none" w:sz="0" w:space="0" w:color="auto"/>
        <w:right w:val="none" w:sz="0" w:space="0" w:color="auto"/>
      </w:divBdr>
    </w:div>
    <w:div w:id="1754550322">
      <w:bodyDiv w:val="1"/>
      <w:marLeft w:val="0"/>
      <w:marRight w:val="0"/>
      <w:marTop w:val="0"/>
      <w:marBottom w:val="0"/>
      <w:divBdr>
        <w:top w:val="none" w:sz="0" w:space="0" w:color="auto"/>
        <w:left w:val="none" w:sz="0" w:space="0" w:color="auto"/>
        <w:bottom w:val="none" w:sz="0" w:space="0" w:color="auto"/>
        <w:right w:val="none" w:sz="0" w:space="0" w:color="auto"/>
      </w:divBdr>
      <w:divsChild>
        <w:div w:id="68042926">
          <w:marLeft w:val="648"/>
          <w:marRight w:val="0"/>
          <w:marTop w:val="140"/>
          <w:marBottom w:val="240"/>
          <w:divBdr>
            <w:top w:val="none" w:sz="0" w:space="0" w:color="auto"/>
            <w:left w:val="none" w:sz="0" w:space="0" w:color="auto"/>
            <w:bottom w:val="none" w:sz="0" w:space="0" w:color="auto"/>
            <w:right w:val="none" w:sz="0" w:space="0" w:color="auto"/>
          </w:divBdr>
        </w:div>
        <w:div w:id="847521047">
          <w:marLeft w:val="648"/>
          <w:marRight w:val="0"/>
          <w:marTop w:val="140"/>
          <w:marBottom w:val="240"/>
          <w:divBdr>
            <w:top w:val="none" w:sz="0" w:space="0" w:color="auto"/>
            <w:left w:val="none" w:sz="0" w:space="0" w:color="auto"/>
            <w:bottom w:val="none" w:sz="0" w:space="0" w:color="auto"/>
            <w:right w:val="none" w:sz="0" w:space="0" w:color="auto"/>
          </w:divBdr>
        </w:div>
        <w:div w:id="1713730744">
          <w:marLeft w:val="648"/>
          <w:marRight w:val="0"/>
          <w:marTop w:val="140"/>
          <w:marBottom w:val="240"/>
          <w:divBdr>
            <w:top w:val="none" w:sz="0" w:space="0" w:color="auto"/>
            <w:left w:val="none" w:sz="0" w:space="0" w:color="auto"/>
            <w:bottom w:val="none" w:sz="0" w:space="0" w:color="auto"/>
            <w:right w:val="none" w:sz="0" w:space="0" w:color="auto"/>
          </w:divBdr>
        </w:div>
        <w:div w:id="1950352544">
          <w:marLeft w:val="648"/>
          <w:marRight w:val="0"/>
          <w:marTop w:val="140"/>
          <w:marBottom w:val="240"/>
          <w:divBdr>
            <w:top w:val="none" w:sz="0" w:space="0" w:color="auto"/>
            <w:left w:val="none" w:sz="0" w:space="0" w:color="auto"/>
            <w:bottom w:val="none" w:sz="0" w:space="0" w:color="auto"/>
            <w:right w:val="none" w:sz="0" w:space="0" w:color="auto"/>
          </w:divBdr>
        </w:div>
      </w:divsChild>
    </w:div>
    <w:div w:id="1761753847">
      <w:bodyDiv w:val="1"/>
      <w:marLeft w:val="0"/>
      <w:marRight w:val="0"/>
      <w:marTop w:val="0"/>
      <w:marBottom w:val="0"/>
      <w:divBdr>
        <w:top w:val="none" w:sz="0" w:space="0" w:color="auto"/>
        <w:left w:val="none" w:sz="0" w:space="0" w:color="auto"/>
        <w:bottom w:val="none" w:sz="0" w:space="0" w:color="auto"/>
        <w:right w:val="none" w:sz="0" w:space="0" w:color="auto"/>
      </w:divBdr>
    </w:div>
    <w:div w:id="1765026448">
      <w:bodyDiv w:val="1"/>
      <w:marLeft w:val="0"/>
      <w:marRight w:val="0"/>
      <w:marTop w:val="0"/>
      <w:marBottom w:val="0"/>
      <w:divBdr>
        <w:top w:val="none" w:sz="0" w:space="0" w:color="auto"/>
        <w:left w:val="none" w:sz="0" w:space="0" w:color="auto"/>
        <w:bottom w:val="none" w:sz="0" w:space="0" w:color="auto"/>
        <w:right w:val="none" w:sz="0" w:space="0" w:color="auto"/>
      </w:divBdr>
      <w:divsChild>
        <w:div w:id="693262311">
          <w:marLeft w:val="1166"/>
          <w:marRight w:val="0"/>
          <w:marTop w:val="62"/>
          <w:marBottom w:val="0"/>
          <w:divBdr>
            <w:top w:val="none" w:sz="0" w:space="0" w:color="auto"/>
            <w:left w:val="none" w:sz="0" w:space="0" w:color="auto"/>
            <w:bottom w:val="none" w:sz="0" w:space="0" w:color="auto"/>
            <w:right w:val="none" w:sz="0" w:space="0" w:color="auto"/>
          </w:divBdr>
        </w:div>
      </w:divsChild>
    </w:div>
    <w:div w:id="1771510608">
      <w:bodyDiv w:val="1"/>
      <w:marLeft w:val="0"/>
      <w:marRight w:val="0"/>
      <w:marTop w:val="0"/>
      <w:marBottom w:val="0"/>
      <w:divBdr>
        <w:top w:val="none" w:sz="0" w:space="0" w:color="auto"/>
        <w:left w:val="none" w:sz="0" w:space="0" w:color="auto"/>
        <w:bottom w:val="none" w:sz="0" w:space="0" w:color="auto"/>
        <w:right w:val="none" w:sz="0" w:space="0" w:color="auto"/>
      </w:divBdr>
    </w:div>
    <w:div w:id="1771657603">
      <w:bodyDiv w:val="1"/>
      <w:marLeft w:val="0"/>
      <w:marRight w:val="0"/>
      <w:marTop w:val="0"/>
      <w:marBottom w:val="0"/>
      <w:divBdr>
        <w:top w:val="none" w:sz="0" w:space="0" w:color="auto"/>
        <w:left w:val="none" w:sz="0" w:space="0" w:color="auto"/>
        <w:bottom w:val="none" w:sz="0" w:space="0" w:color="auto"/>
        <w:right w:val="none" w:sz="0" w:space="0" w:color="auto"/>
      </w:divBdr>
    </w:div>
    <w:div w:id="1796096510">
      <w:bodyDiv w:val="1"/>
      <w:marLeft w:val="0"/>
      <w:marRight w:val="0"/>
      <w:marTop w:val="0"/>
      <w:marBottom w:val="0"/>
      <w:divBdr>
        <w:top w:val="none" w:sz="0" w:space="0" w:color="auto"/>
        <w:left w:val="none" w:sz="0" w:space="0" w:color="auto"/>
        <w:bottom w:val="none" w:sz="0" w:space="0" w:color="auto"/>
        <w:right w:val="none" w:sz="0" w:space="0" w:color="auto"/>
      </w:divBdr>
    </w:div>
    <w:div w:id="1803692225">
      <w:bodyDiv w:val="1"/>
      <w:marLeft w:val="0"/>
      <w:marRight w:val="0"/>
      <w:marTop w:val="0"/>
      <w:marBottom w:val="0"/>
      <w:divBdr>
        <w:top w:val="none" w:sz="0" w:space="0" w:color="auto"/>
        <w:left w:val="none" w:sz="0" w:space="0" w:color="auto"/>
        <w:bottom w:val="none" w:sz="0" w:space="0" w:color="auto"/>
        <w:right w:val="none" w:sz="0" w:space="0" w:color="auto"/>
      </w:divBdr>
    </w:div>
    <w:div w:id="1818374264">
      <w:bodyDiv w:val="1"/>
      <w:marLeft w:val="0"/>
      <w:marRight w:val="0"/>
      <w:marTop w:val="0"/>
      <w:marBottom w:val="0"/>
      <w:divBdr>
        <w:top w:val="none" w:sz="0" w:space="0" w:color="auto"/>
        <w:left w:val="none" w:sz="0" w:space="0" w:color="auto"/>
        <w:bottom w:val="none" w:sz="0" w:space="0" w:color="auto"/>
        <w:right w:val="none" w:sz="0" w:space="0" w:color="auto"/>
      </w:divBdr>
    </w:div>
    <w:div w:id="1821187710">
      <w:bodyDiv w:val="1"/>
      <w:marLeft w:val="0"/>
      <w:marRight w:val="0"/>
      <w:marTop w:val="0"/>
      <w:marBottom w:val="0"/>
      <w:divBdr>
        <w:top w:val="none" w:sz="0" w:space="0" w:color="auto"/>
        <w:left w:val="none" w:sz="0" w:space="0" w:color="auto"/>
        <w:bottom w:val="none" w:sz="0" w:space="0" w:color="auto"/>
        <w:right w:val="none" w:sz="0" w:space="0" w:color="auto"/>
      </w:divBdr>
    </w:div>
    <w:div w:id="1823237084">
      <w:bodyDiv w:val="1"/>
      <w:marLeft w:val="0"/>
      <w:marRight w:val="0"/>
      <w:marTop w:val="0"/>
      <w:marBottom w:val="0"/>
      <w:divBdr>
        <w:top w:val="none" w:sz="0" w:space="0" w:color="auto"/>
        <w:left w:val="none" w:sz="0" w:space="0" w:color="auto"/>
        <w:bottom w:val="none" w:sz="0" w:space="0" w:color="auto"/>
        <w:right w:val="none" w:sz="0" w:space="0" w:color="auto"/>
      </w:divBdr>
    </w:div>
    <w:div w:id="1824200878">
      <w:bodyDiv w:val="1"/>
      <w:marLeft w:val="0"/>
      <w:marRight w:val="0"/>
      <w:marTop w:val="0"/>
      <w:marBottom w:val="0"/>
      <w:divBdr>
        <w:top w:val="none" w:sz="0" w:space="0" w:color="auto"/>
        <w:left w:val="none" w:sz="0" w:space="0" w:color="auto"/>
        <w:bottom w:val="none" w:sz="0" w:space="0" w:color="auto"/>
        <w:right w:val="none" w:sz="0" w:space="0" w:color="auto"/>
      </w:divBdr>
    </w:div>
    <w:div w:id="1831485322">
      <w:bodyDiv w:val="1"/>
      <w:marLeft w:val="0"/>
      <w:marRight w:val="0"/>
      <w:marTop w:val="0"/>
      <w:marBottom w:val="0"/>
      <w:divBdr>
        <w:top w:val="none" w:sz="0" w:space="0" w:color="auto"/>
        <w:left w:val="none" w:sz="0" w:space="0" w:color="auto"/>
        <w:bottom w:val="none" w:sz="0" w:space="0" w:color="auto"/>
        <w:right w:val="none" w:sz="0" w:space="0" w:color="auto"/>
      </w:divBdr>
    </w:div>
    <w:div w:id="1831602405">
      <w:bodyDiv w:val="1"/>
      <w:marLeft w:val="0"/>
      <w:marRight w:val="0"/>
      <w:marTop w:val="0"/>
      <w:marBottom w:val="0"/>
      <w:divBdr>
        <w:top w:val="none" w:sz="0" w:space="0" w:color="auto"/>
        <w:left w:val="none" w:sz="0" w:space="0" w:color="auto"/>
        <w:bottom w:val="none" w:sz="0" w:space="0" w:color="auto"/>
        <w:right w:val="none" w:sz="0" w:space="0" w:color="auto"/>
      </w:divBdr>
    </w:div>
    <w:div w:id="1831673656">
      <w:bodyDiv w:val="1"/>
      <w:marLeft w:val="0"/>
      <w:marRight w:val="0"/>
      <w:marTop w:val="0"/>
      <w:marBottom w:val="0"/>
      <w:divBdr>
        <w:top w:val="none" w:sz="0" w:space="0" w:color="auto"/>
        <w:left w:val="none" w:sz="0" w:space="0" w:color="auto"/>
        <w:bottom w:val="none" w:sz="0" w:space="0" w:color="auto"/>
        <w:right w:val="none" w:sz="0" w:space="0" w:color="auto"/>
      </w:divBdr>
    </w:div>
    <w:div w:id="1837115478">
      <w:bodyDiv w:val="1"/>
      <w:marLeft w:val="0"/>
      <w:marRight w:val="0"/>
      <w:marTop w:val="0"/>
      <w:marBottom w:val="0"/>
      <w:divBdr>
        <w:top w:val="none" w:sz="0" w:space="0" w:color="auto"/>
        <w:left w:val="none" w:sz="0" w:space="0" w:color="auto"/>
        <w:bottom w:val="none" w:sz="0" w:space="0" w:color="auto"/>
        <w:right w:val="none" w:sz="0" w:space="0" w:color="auto"/>
      </w:divBdr>
    </w:div>
    <w:div w:id="1850483301">
      <w:bodyDiv w:val="1"/>
      <w:marLeft w:val="0"/>
      <w:marRight w:val="0"/>
      <w:marTop w:val="0"/>
      <w:marBottom w:val="0"/>
      <w:divBdr>
        <w:top w:val="none" w:sz="0" w:space="0" w:color="auto"/>
        <w:left w:val="none" w:sz="0" w:space="0" w:color="auto"/>
        <w:bottom w:val="none" w:sz="0" w:space="0" w:color="auto"/>
        <w:right w:val="none" w:sz="0" w:space="0" w:color="auto"/>
      </w:divBdr>
    </w:div>
    <w:div w:id="1852449339">
      <w:bodyDiv w:val="1"/>
      <w:marLeft w:val="0"/>
      <w:marRight w:val="0"/>
      <w:marTop w:val="0"/>
      <w:marBottom w:val="0"/>
      <w:divBdr>
        <w:top w:val="none" w:sz="0" w:space="0" w:color="auto"/>
        <w:left w:val="none" w:sz="0" w:space="0" w:color="auto"/>
        <w:bottom w:val="none" w:sz="0" w:space="0" w:color="auto"/>
        <w:right w:val="none" w:sz="0" w:space="0" w:color="auto"/>
      </w:divBdr>
    </w:div>
    <w:div w:id="1859151630">
      <w:bodyDiv w:val="1"/>
      <w:marLeft w:val="0"/>
      <w:marRight w:val="0"/>
      <w:marTop w:val="0"/>
      <w:marBottom w:val="0"/>
      <w:divBdr>
        <w:top w:val="none" w:sz="0" w:space="0" w:color="auto"/>
        <w:left w:val="none" w:sz="0" w:space="0" w:color="auto"/>
        <w:bottom w:val="none" w:sz="0" w:space="0" w:color="auto"/>
        <w:right w:val="none" w:sz="0" w:space="0" w:color="auto"/>
      </w:divBdr>
    </w:div>
    <w:div w:id="1863780243">
      <w:bodyDiv w:val="1"/>
      <w:marLeft w:val="0"/>
      <w:marRight w:val="0"/>
      <w:marTop w:val="0"/>
      <w:marBottom w:val="0"/>
      <w:divBdr>
        <w:top w:val="none" w:sz="0" w:space="0" w:color="auto"/>
        <w:left w:val="none" w:sz="0" w:space="0" w:color="auto"/>
        <w:bottom w:val="none" w:sz="0" w:space="0" w:color="auto"/>
        <w:right w:val="none" w:sz="0" w:space="0" w:color="auto"/>
      </w:divBdr>
    </w:div>
    <w:div w:id="1866794260">
      <w:bodyDiv w:val="1"/>
      <w:marLeft w:val="0"/>
      <w:marRight w:val="0"/>
      <w:marTop w:val="0"/>
      <w:marBottom w:val="0"/>
      <w:divBdr>
        <w:top w:val="none" w:sz="0" w:space="0" w:color="auto"/>
        <w:left w:val="none" w:sz="0" w:space="0" w:color="auto"/>
        <w:bottom w:val="none" w:sz="0" w:space="0" w:color="auto"/>
        <w:right w:val="none" w:sz="0" w:space="0" w:color="auto"/>
      </w:divBdr>
    </w:div>
    <w:div w:id="1871380907">
      <w:bodyDiv w:val="1"/>
      <w:marLeft w:val="0"/>
      <w:marRight w:val="0"/>
      <w:marTop w:val="0"/>
      <w:marBottom w:val="0"/>
      <w:divBdr>
        <w:top w:val="none" w:sz="0" w:space="0" w:color="auto"/>
        <w:left w:val="none" w:sz="0" w:space="0" w:color="auto"/>
        <w:bottom w:val="none" w:sz="0" w:space="0" w:color="auto"/>
        <w:right w:val="none" w:sz="0" w:space="0" w:color="auto"/>
      </w:divBdr>
    </w:div>
    <w:div w:id="1872104316">
      <w:bodyDiv w:val="1"/>
      <w:marLeft w:val="0"/>
      <w:marRight w:val="0"/>
      <w:marTop w:val="0"/>
      <w:marBottom w:val="0"/>
      <w:divBdr>
        <w:top w:val="none" w:sz="0" w:space="0" w:color="auto"/>
        <w:left w:val="none" w:sz="0" w:space="0" w:color="auto"/>
        <w:bottom w:val="none" w:sz="0" w:space="0" w:color="auto"/>
        <w:right w:val="none" w:sz="0" w:space="0" w:color="auto"/>
      </w:divBdr>
    </w:div>
    <w:div w:id="1888224724">
      <w:bodyDiv w:val="1"/>
      <w:marLeft w:val="0"/>
      <w:marRight w:val="0"/>
      <w:marTop w:val="0"/>
      <w:marBottom w:val="0"/>
      <w:divBdr>
        <w:top w:val="none" w:sz="0" w:space="0" w:color="auto"/>
        <w:left w:val="none" w:sz="0" w:space="0" w:color="auto"/>
        <w:bottom w:val="none" w:sz="0" w:space="0" w:color="auto"/>
        <w:right w:val="none" w:sz="0" w:space="0" w:color="auto"/>
      </w:divBdr>
    </w:div>
    <w:div w:id="1890650641">
      <w:bodyDiv w:val="1"/>
      <w:marLeft w:val="0"/>
      <w:marRight w:val="0"/>
      <w:marTop w:val="0"/>
      <w:marBottom w:val="0"/>
      <w:divBdr>
        <w:top w:val="none" w:sz="0" w:space="0" w:color="auto"/>
        <w:left w:val="none" w:sz="0" w:space="0" w:color="auto"/>
        <w:bottom w:val="none" w:sz="0" w:space="0" w:color="auto"/>
        <w:right w:val="none" w:sz="0" w:space="0" w:color="auto"/>
      </w:divBdr>
    </w:div>
    <w:div w:id="1898127566">
      <w:bodyDiv w:val="1"/>
      <w:marLeft w:val="0"/>
      <w:marRight w:val="0"/>
      <w:marTop w:val="0"/>
      <w:marBottom w:val="0"/>
      <w:divBdr>
        <w:top w:val="none" w:sz="0" w:space="0" w:color="auto"/>
        <w:left w:val="none" w:sz="0" w:space="0" w:color="auto"/>
        <w:bottom w:val="none" w:sz="0" w:space="0" w:color="auto"/>
        <w:right w:val="none" w:sz="0" w:space="0" w:color="auto"/>
      </w:divBdr>
    </w:div>
    <w:div w:id="1898319291">
      <w:bodyDiv w:val="1"/>
      <w:marLeft w:val="0"/>
      <w:marRight w:val="0"/>
      <w:marTop w:val="0"/>
      <w:marBottom w:val="0"/>
      <w:divBdr>
        <w:top w:val="none" w:sz="0" w:space="0" w:color="auto"/>
        <w:left w:val="none" w:sz="0" w:space="0" w:color="auto"/>
        <w:bottom w:val="none" w:sz="0" w:space="0" w:color="auto"/>
        <w:right w:val="none" w:sz="0" w:space="0" w:color="auto"/>
      </w:divBdr>
    </w:div>
    <w:div w:id="1905144594">
      <w:bodyDiv w:val="1"/>
      <w:marLeft w:val="0"/>
      <w:marRight w:val="0"/>
      <w:marTop w:val="0"/>
      <w:marBottom w:val="0"/>
      <w:divBdr>
        <w:top w:val="none" w:sz="0" w:space="0" w:color="auto"/>
        <w:left w:val="none" w:sz="0" w:space="0" w:color="auto"/>
        <w:bottom w:val="none" w:sz="0" w:space="0" w:color="auto"/>
        <w:right w:val="none" w:sz="0" w:space="0" w:color="auto"/>
      </w:divBdr>
    </w:div>
    <w:div w:id="1909875127">
      <w:bodyDiv w:val="1"/>
      <w:marLeft w:val="0"/>
      <w:marRight w:val="0"/>
      <w:marTop w:val="0"/>
      <w:marBottom w:val="0"/>
      <w:divBdr>
        <w:top w:val="none" w:sz="0" w:space="0" w:color="auto"/>
        <w:left w:val="none" w:sz="0" w:space="0" w:color="auto"/>
        <w:bottom w:val="none" w:sz="0" w:space="0" w:color="auto"/>
        <w:right w:val="none" w:sz="0" w:space="0" w:color="auto"/>
      </w:divBdr>
    </w:div>
    <w:div w:id="1914588074">
      <w:bodyDiv w:val="1"/>
      <w:marLeft w:val="0"/>
      <w:marRight w:val="0"/>
      <w:marTop w:val="0"/>
      <w:marBottom w:val="0"/>
      <w:divBdr>
        <w:top w:val="none" w:sz="0" w:space="0" w:color="auto"/>
        <w:left w:val="none" w:sz="0" w:space="0" w:color="auto"/>
        <w:bottom w:val="none" w:sz="0" w:space="0" w:color="auto"/>
        <w:right w:val="none" w:sz="0" w:space="0" w:color="auto"/>
      </w:divBdr>
    </w:div>
    <w:div w:id="1921866328">
      <w:bodyDiv w:val="1"/>
      <w:marLeft w:val="0"/>
      <w:marRight w:val="0"/>
      <w:marTop w:val="0"/>
      <w:marBottom w:val="0"/>
      <w:divBdr>
        <w:top w:val="none" w:sz="0" w:space="0" w:color="auto"/>
        <w:left w:val="none" w:sz="0" w:space="0" w:color="auto"/>
        <w:bottom w:val="none" w:sz="0" w:space="0" w:color="auto"/>
        <w:right w:val="none" w:sz="0" w:space="0" w:color="auto"/>
      </w:divBdr>
    </w:div>
    <w:div w:id="1934315624">
      <w:bodyDiv w:val="1"/>
      <w:marLeft w:val="0"/>
      <w:marRight w:val="0"/>
      <w:marTop w:val="0"/>
      <w:marBottom w:val="0"/>
      <w:divBdr>
        <w:top w:val="none" w:sz="0" w:space="0" w:color="auto"/>
        <w:left w:val="none" w:sz="0" w:space="0" w:color="auto"/>
        <w:bottom w:val="none" w:sz="0" w:space="0" w:color="auto"/>
        <w:right w:val="none" w:sz="0" w:space="0" w:color="auto"/>
      </w:divBdr>
      <w:divsChild>
        <w:div w:id="1992709259">
          <w:marLeft w:val="0"/>
          <w:marRight w:val="0"/>
          <w:marTop w:val="0"/>
          <w:marBottom w:val="0"/>
          <w:divBdr>
            <w:top w:val="none" w:sz="0" w:space="0" w:color="auto"/>
            <w:left w:val="none" w:sz="0" w:space="0" w:color="auto"/>
            <w:bottom w:val="none" w:sz="0" w:space="0" w:color="auto"/>
            <w:right w:val="none" w:sz="0" w:space="0" w:color="auto"/>
          </w:divBdr>
          <w:divsChild>
            <w:div w:id="1806392653">
              <w:marLeft w:val="0"/>
              <w:marRight w:val="0"/>
              <w:marTop w:val="0"/>
              <w:marBottom w:val="0"/>
              <w:divBdr>
                <w:top w:val="none" w:sz="0" w:space="0" w:color="auto"/>
                <w:left w:val="none" w:sz="0" w:space="0" w:color="auto"/>
                <w:bottom w:val="none" w:sz="0" w:space="0" w:color="auto"/>
                <w:right w:val="none" w:sz="0" w:space="0" w:color="auto"/>
              </w:divBdr>
              <w:divsChild>
                <w:div w:id="671222334">
                  <w:marLeft w:val="0"/>
                  <w:marRight w:val="0"/>
                  <w:marTop w:val="0"/>
                  <w:marBottom w:val="0"/>
                  <w:divBdr>
                    <w:top w:val="none" w:sz="0" w:space="0" w:color="auto"/>
                    <w:left w:val="none" w:sz="0" w:space="0" w:color="auto"/>
                    <w:bottom w:val="none" w:sz="0" w:space="0" w:color="auto"/>
                    <w:right w:val="none" w:sz="0" w:space="0" w:color="auto"/>
                  </w:divBdr>
                  <w:divsChild>
                    <w:div w:id="658769067">
                      <w:marLeft w:val="0"/>
                      <w:marRight w:val="0"/>
                      <w:marTop w:val="150"/>
                      <w:marBottom w:val="0"/>
                      <w:divBdr>
                        <w:top w:val="none" w:sz="0" w:space="0" w:color="auto"/>
                        <w:left w:val="none" w:sz="0" w:space="0" w:color="auto"/>
                        <w:bottom w:val="none" w:sz="0" w:space="0" w:color="auto"/>
                        <w:right w:val="none" w:sz="0" w:space="0" w:color="auto"/>
                      </w:divBdr>
                      <w:divsChild>
                        <w:div w:id="283773687">
                          <w:marLeft w:val="0"/>
                          <w:marRight w:val="0"/>
                          <w:marTop w:val="0"/>
                          <w:marBottom w:val="0"/>
                          <w:divBdr>
                            <w:top w:val="none" w:sz="0" w:space="0" w:color="auto"/>
                            <w:left w:val="none" w:sz="0" w:space="0" w:color="auto"/>
                            <w:bottom w:val="none" w:sz="0" w:space="0" w:color="auto"/>
                            <w:right w:val="none" w:sz="0" w:space="0" w:color="auto"/>
                          </w:divBdr>
                          <w:divsChild>
                            <w:div w:id="1182627972">
                              <w:marLeft w:val="-75"/>
                              <w:marRight w:val="-75"/>
                              <w:marTop w:val="0"/>
                              <w:marBottom w:val="0"/>
                              <w:divBdr>
                                <w:top w:val="none" w:sz="0" w:space="0" w:color="auto"/>
                                <w:left w:val="none" w:sz="0" w:space="0" w:color="auto"/>
                                <w:bottom w:val="none" w:sz="0" w:space="0" w:color="auto"/>
                                <w:right w:val="none" w:sz="0" w:space="0" w:color="auto"/>
                              </w:divBdr>
                              <w:divsChild>
                                <w:div w:id="768937700">
                                  <w:marLeft w:val="0"/>
                                  <w:marRight w:val="0"/>
                                  <w:marTop w:val="0"/>
                                  <w:marBottom w:val="0"/>
                                  <w:divBdr>
                                    <w:top w:val="none" w:sz="0" w:space="0" w:color="auto"/>
                                    <w:left w:val="none" w:sz="0" w:space="0" w:color="auto"/>
                                    <w:bottom w:val="none" w:sz="0" w:space="0" w:color="auto"/>
                                    <w:right w:val="none" w:sz="0" w:space="0" w:color="auto"/>
                                  </w:divBdr>
                                  <w:divsChild>
                                    <w:div w:id="743450047">
                                      <w:marLeft w:val="0"/>
                                      <w:marRight w:val="0"/>
                                      <w:marTop w:val="0"/>
                                      <w:marBottom w:val="150"/>
                                      <w:divBdr>
                                        <w:top w:val="none" w:sz="0" w:space="0" w:color="auto"/>
                                        <w:left w:val="none" w:sz="0" w:space="0" w:color="auto"/>
                                        <w:bottom w:val="none" w:sz="0" w:space="0" w:color="auto"/>
                                        <w:right w:val="none" w:sz="0" w:space="0" w:color="auto"/>
                                      </w:divBdr>
                                      <w:divsChild>
                                        <w:div w:id="1932273267">
                                          <w:marLeft w:val="0"/>
                                          <w:marRight w:val="0"/>
                                          <w:marTop w:val="0"/>
                                          <w:marBottom w:val="0"/>
                                          <w:divBdr>
                                            <w:top w:val="none" w:sz="0" w:space="0" w:color="auto"/>
                                            <w:left w:val="none" w:sz="0" w:space="0" w:color="auto"/>
                                            <w:bottom w:val="none" w:sz="0" w:space="0" w:color="auto"/>
                                            <w:right w:val="none" w:sz="0" w:space="0" w:color="auto"/>
                                          </w:divBdr>
                                          <w:divsChild>
                                            <w:div w:id="75327962">
                                              <w:marLeft w:val="0"/>
                                              <w:marRight w:val="0"/>
                                              <w:marTop w:val="0"/>
                                              <w:marBottom w:val="0"/>
                                              <w:divBdr>
                                                <w:top w:val="none" w:sz="0" w:space="0" w:color="auto"/>
                                                <w:left w:val="none" w:sz="0" w:space="0" w:color="auto"/>
                                                <w:bottom w:val="none" w:sz="0" w:space="0" w:color="auto"/>
                                                <w:right w:val="none" w:sz="0" w:space="0" w:color="auto"/>
                                              </w:divBdr>
                                              <w:divsChild>
                                                <w:div w:id="2542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913608">
      <w:bodyDiv w:val="1"/>
      <w:marLeft w:val="0"/>
      <w:marRight w:val="0"/>
      <w:marTop w:val="0"/>
      <w:marBottom w:val="0"/>
      <w:divBdr>
        <w:top w:val="none" w:sz="0" w:space="0" w:color="auto"/>
        <w:left w:val="none" w:sz="0" w:space="0" w:color="auto"/>
        <w:bottom w:val="none" w:sz="0" w:space="0" w:color="auto"/>
        <w:right w:val="none" w:sz="0" w:space="0" w:color="auto"/>
      </w:divBdr>
    </w:div>
    <w:div w:id="1949698686">
      <w:bodyDiv w:val="1"/>
      <w:marLeft w:val="0"/>
      <w:marRight w:val="0"/>
      <w:marTop w:val="0"/>
      <w:marBottom w:val="0"/>
      <w:divBdr>
        <w:top w:val="none" w:sz="0" w:space="0" w:color="auto"/>
        <w:left w:val="none" w:sz="0" w:space="0" w:color="auto"/>
        <w:bottom w:val="none" w:sz="0" w:space="0" w:color="auto"/>
        <w:right w:val="none" w:sz="0" w:space="0" w:color="auto"/>
      </w:divBdr>
    </w:div>
    <w:div w:id="1952777426">
      <w:bodyDiv w:val="1"/>
      <w:marLeft w:val="0"/>
      <w:marRight w:val="0"/>
      <w:marTop w:val="0"/>
      <w:marBottom w:val="0"/>
      <w:divBdr>
        <w:top w:val="none" w:sz="0" w:space="0" w:color="auto"/>
        <w:left w:val="none" w:sz="0" w:space="0" w:color="auto"/>
        <w:bottom w:val="none" w:sz="0" w:space="0" w:color="auto"/>
        <w:right w:val="none" w:sz="0" w:space="0" w:color="auto"/>
      </w:divBdr>
    </w:div>
    <w:div w:id="1963265424">
      <w:bodyDiv w:val="1"/>
      <w:marLeft w:val="0"/>
      <w:marRight w:val="0"/>
      <w:marTop w:val="0"/>
      <w:marBottom w:val="0"/>
      <w:divBdr>
        <w:top w:val="none" w:sz="0" w:space="0" w:color="auto"/>
        <w:left w:val="none" w:sz="0" w:space="0" w:color="auto"/>
        <w:bottom w:val="none" w:sz="0" w:space="0" w:color="auto"/>
        <w:right w:val="none" w:sz="0" w:space="0" w:color="auto"/>
      </w:divBdr>
    </w:div>
    <w:div w:id="1966538860">
      <w:bodyDiv w:val="1"/>
      <w:marLeft w:val="0"/>
      <w:marRight w:val="0"/>
      <w:marTop w:val="0"/>
      <w:marBottom w:val="0"/>
      <w:divBdr>
        <w:top w:val="none" w:sz="0" w:space="0" w:color="auto"/>
        <w:left w:val="none" w:sz="0" w:space="0" w:color="auto"/>
        <w:bottom w:val="none" w:sz="0" w:space="0" w:color="auto"/>
        <w:right w:val="none" w:sz="0" w:space="0" w:color="auto"/>
      </w:divBdr>
    </w:div>
    <w:div w:id="1968975226">
      <w:bodyDiv w:val="1"/>
      <w:marLeft w:val="0"/>
      <w:marRight w:val="0"/>
      <w:marTop w:val="0"/>
      <w:marBottom w:val="0"/>
      <w:divBdr>
        <w:top w:val="none" w:sz="0" w:space="0" w:color="auto"/>
        <w:left w:val="none" w:sz="0" w:space="0" w:color="auto"/>
        <w:bottom w:val="none" w:sz="0" w:space="0" w:color="auto"/>
        <w:right w:val="none" w:sz="0" w:space="0" w:color="auto"/>
      </w:divBdr>
    </w:div>
    <w:div w:id="1972006985">
      <w:bodyDiv w:val="1"/>
      <w:marLeft w:val="0"/>
      <w:marRight w:val="0"/>
      <w:marTop w:val="0"/>
      <w:marBottom w:val="0"/>
      <w:divBdr>
        <w:top w:val="none" w:sz="0" w:space="0" w:color="auto"/>
        <w:left w:val="none" w:sz="0" w:space="0" w:color="auto"/>
        <w:bottom w:val="none" w:sz="0" w:space="0" w:color="auto"/>
        <w:right w:val="none" w:sz="0" w:space="0" w:color="auto"/>
      </w:divBdr>
    </w:div>
    <w:div w:id="1972899518">
      <w:bodyDiv w:val="1"/>
      <w:marLeft w:val="0"/>
      <w:marRight w:val="0"/>
      <w:marTop w:val="0"/>
      <w:marBottom w:val="0"/>
      <w:divBdr>
        <w:top w:val="none" w:sz="0" w:space="0" w:color="auto"/>
        <w:left w:val="none" w:sz="0" w:space="0" w:color="auto"/>
        <w:bottom w:val="none" w:sz="0" w:space="0" w:color="auto"/>
        <w:right w:val="none" w:sz="0" w:space="0" w:color="auto"/>
      </w:divBdr>
    </w:div>
    <w:div w:id="1986007055">
      <w:bodyDiv w:val="1"/>
      <w:marLeft w:val="0"/>
      <w:marRight w:val="0"/>
      <w:marTop w:val="0"/>
      <w:marBottom w:val="0"/>
      <w:divBdr>
        <w:top w:val="none" w:sz="0" w:space="0" w:color="auto"/>
        <w:left w:val="none" w:sz="0" w:space="0" w:color="auto"/>
        <w:bottom w:val="none" w:sz="0" w:space="0" w:color="auto"/>
        <w:right w:val="none" w:sz="0" w:space="0" w:color="auto"/>
      </w:divBdr>
    </w:div>
    <w:div w:id="1989750197">
      <w:bodyDiv w:val="1"/>
      <w:marLeft w:val="0"/>
      <w:marRight w:val="0"/>
      <w:marTop w:val="0"/>
      <w:marBottom w:val="0"/>
      <w:divBdr>
        <w:top w:val="none" w:sz="0" w:space="0" w:color="auto"/>
        <w:left w:val="none" w:sz="0" w:space="0" w:color="auto"/>
        <w:bottom w:val="none" w:sz="0" w:space="0" w:color="auto"/>
        <w:right w:val="none" w:sz="0" w:space="0" w:color="auto"/>
      </w:divBdr>
    </w:div>
    <w:div w:id="1997763928">
      <w:bodyDiv w:val="1"/>
      <w:marLeft w:val="0"/>
      <w:marRight w:val="0"/>
      <w:marTop w:val="0"/>
      <w:marBottom w:val="0"/>
      <w:divBdr>
        <w:top w:val="none" w:sz="0" w:space="0" w:color="auto"/>
        <w:left w:val="none" w:sz="0" w:space="0" w:color="auto"/>
        <w:bottom w:val="none" w:sz="0" w:space="0" w:color="auto"/>
        <w:right w:val="none" w:sz="0" w:space="0" w:color="auto"/>
      </w:divBdr>
    </w:div>
    <w:div w:id="2011056197">
      <w:bodyDiv w:val="1"/>
      <w:marLeft w:val="0"/>
      <w:marRight w:val="0"/>
      <w:marTop w:val="0"/>
      <w:marBottom w:val="0"/>
      <w:divBdr>
        <w:top w:val="none" w:sz="0" w:space="0" w:color="auto"/>
        <w:left w:val="none" w:sz="0" w:space="0" w:color="auto"/>
        <w:bottom w:val="none" w:sz="0" w:space="0" w:color="auto"/>
        <w:right w:val="none" w:sz="0" w:space="0" w:color="auto"/>
      </w:divBdr>
    </w:div>
    <w:div w:id="2011908557">
      <w:bodyDiv w:val="1"/>
      <w:marLeft w:val="0"/>
      <w:marRight w:val="0"/>
      <w:marTop w:val="0"/>
      <w:marBottom w:val="0"/>
      <w:divBdr>
        <w:top w:val="none" w:sz="0" w:space="0" w:color="auto"/>
        <w:left w:val="none" w:sz="0" w:space="0" w:color="auto"/>
        <w:bottom w:val="none" w:sz="0" w:space="0" w:color="auto"/>
        <w:right w:val="none" w:sz="0" w:space="0" w:color="auto"/>
      </w:divBdr>
    </w:div>
    <w:div w:id="2018581772">
      <w:bodyDiv w:val="1"/>
      <w:marLeft w:val="0"/>
      <w:marRight w:val="0"/>
      <w:marTop w:val="0"/>
      <w:marBottom w:val="0"/>
      <w:divBdr>
        <w:top w:val="none" w:sz="0" w:space="0" w:color="auto"/>
        <w:left w:val="none" w:sz="0" w:space="0" w:color="auto"/>
        <w:bottom w:val="none" w:sz="0" w:space="0" w:color="auto"/>
        <w:right w:val="none" w:sz="0" w:space="0" w:color="auto"/>
      </w:divBdr>
    </w:div>
    <w:div w:id="2035420466">
      <w:bodyDiv w:val="1"/>
      <w:marLeft w:val="0"/>
      <w:marRight w:val="0"/>
      <w:marTop w:val="0"/>
      <w:marBottom w:val="0"/>
      <w:divBdr>
        <w:top w:val="none" w:sz="0" w:space="0" w:color="auto"/>
        <w:left w:val="none" w:sz="0" w:space="0" w:color="auto"/>
        <w:bottom w:val="none" w:sz="0" w:space="0" w:color="auto"/>
        <w:right w:val="none" w:sz="0" w:space="0" w:color="auto"/>
      </w:divBdr>
    </w:div>
    <w:div w:id="2047369689">
      <w:bodyDiv w:val="1"/>
      <w:marLeft w:val="0"/>
      <w:marRight w:val="0"/>
      <w:marTop w:val="0"/>
      <w:marBottom w:val="0"/>
      <w:divBdr>
        <w:top w:val="none" w:sz="0" w:space="0" w:color="auto"/>
        <w:left w:val="none" w:sz="0" w:space="0" w:color="auto"/>
        <w:bottom w:val="none" w:sz="0" w:space="0" w:color="auto"/>
        <w:right w:val="none" w:sz="0" w:space="0" w:color="auto"/>
      </w:divBdr>
    </w:div>
    <w:div w:id="2053115979">
      <w:bodyDiv w:val="1"/>
      <w:marLeft w:val="0"/>
      <w:marRight w:val="0"/>
      <w:marTop w:val="0"/>
      <w:marBottom w:val="0"/>
      <w:divBdr>
        <w:top w:val="none" w:sz="0" w:space="0" w:color="auto"/>
        <w:left w:val="none" w:sz="0" w:space="0" w:color="auto"/>
        <w:bottom w:val="none" w:sz="0" w:space="0" w:color="auto"/>
        <w:right w:val="none" w:sz="0" w:space="0" w:color="auto"/>
      </w:divBdr>
      <w:divsChild>
        <w:div w:id="1050569045">
          <w:marLeft w:val="648"/>
          <w:marRight w:val="0"/>
          <w:marTop w:val="140"/>
          <w:marBottom w:val="240"/>
          <w:divBdr>
            <w:top w:val="none" w:sz="0" w:space="0" w:color="auto"/>
            <w:left w:val="none" w:sz="0" w:space="0" w:color="auto"/>
            <w:bottom w:val="none" w:sz="0" w:space="0" w:color="auto"/>
            <w:right w:val="none" w:sz="0" w:space="0" w:color="auto"/>
          </w:divBdr>
        </w:div>
        <w:div w:id="1379210017">
          <w:marLeft w:val="648"/>
          <w:marRight w:val="0"/>
          <w:marTop w:val="140"/>
          <w:marBottom w:val="240"/>
          <w:divBdr>
            <w:top w:val="none" w:sz="0" w:space="0" w:color="auto"/>
            <w:left w:val="none" w:sz="0" w:space="0" w:color="auto"/>
            <w:bottom w:val="none" w:sz="0" w:space="0" w:color="auto"/>
            <w:right w:val="none" w:sz="0" w:space="0" w:color="auto"/>
          </w:divBdr>
        </w:div>
        <w:div w:id="1497958699">
          <w:marLeft w:val="648"/>
          <w:marRight w:val="0"/>
          <w:marTop w:val="140"/>
          <w:marBottom w:val="240"/>
          <w:divBdr>
            <w:top w:val="none" w:sz="0" w:space="0" w:color="auto"/>
            <w:left w:val="none" w:sz="0" w:space="0" w:color="auto"/>
            <w:bottom w:val="none" w:sz="0" w:space="0" w:color="auto"/>
            <w:right w:val="none" w:sz="0" w:space="0" w:color="auto"/>
          </w:divBdr>
        </w:div>
        <w:div w:id="2017460713">
          <w:marLeft w:val="648"/>
          <w:marRight w:val="0"/>
          <w:marTop w:val="140"/>
          <w:marBottom w:val="240"/>
          <w:divBdr>
            <w:top w:val="none" w:sz="0" w:space="0" w:color="auto"/>
            <w:left w:val="none" w:sz="0" w:space="0" w:color="auto"/>
            <w:bottom w:val="none" w:sz="0" w:space="0" w:color="auto"/>
            <w:right w:val="none" w:sz="0" w:space="0" w:color="auto"/>
          </w:divBdr>
        </w:div>
      </w:divsChild>
    </w:div>
    <w:div w:id="2056153357">
      <w:bodyDiv w:val="1"/>
      <w:marLeft w:val="0"/>
      <w:marRight w:val="0"/>
      <w:marTop w:val="0"/>
      <w:marBottom w:val="0"/>
      <w:divBdr>
        <w:top w:val="none" w:sz="0" w:space="0" w:color="auto"/>
        <w:left w:val="none" w:sz="0" w:space="0" w:color="auto"/>
        <w:bottom w:val="none" w:sz="0" w:space="0" w:color="auto"/>
        <w:right w:val="none" w:sz="0" w:space="0" w:color="auto"/>
      </w:divBdr>
    </w:div>
    <w:div w:id="2059813146">
      <w:bodyDiv w:val="1"/>
      <w:marLeft w:val="0"/>
      <w:marRight w:val="0"/>
      <w:marTop w:val="0"/>
      <w:marBottom w:val="0"/>
      <w:divBdr>
        <w:top w:val="none" w:sz="0" w:space="0" w:color="auto"/>
        <w:left w:val="none" w:sz="0" w:space="0" w:color="auto"/>
        <w:bottom w:val="none" w:sz="0" w:space="0" w:color="auto"/>
        <w:right w:val="none" w:sz="0" w:space="0" w:color="auto"/>
      </w:divBdr>
    </w:div>
    <w:div w:id="2063553660">
      <w:bodyDiv w:val="1"/>
      <w:marLeft w:val="0"/>
      <w:marRight w:val="0"/>
      <w:marTop w:val="0"/>
      <w:marBottom w:val="0"/>
      <w:divBdr>
        <w:top w:val="none" w:sz="0" w:space="0" w:color="auto"/>
        <w:left w:val="none" w:sz="0" w:space="0" w:color="auto"/>
        <w:bottom w:val="none" w:sz="0" w:space="0" w:color="auto"/>
        <w:right w:val="none" w:sz="0" w:space="0" w:color="auto"/>
      </w:divBdr>
    </w:div>
    <w:div w:id="2067680219">
      <w:bodyDiv w:val="1"/>
      <w:marLeft w:val="0"/>
      <w:marRight w:val="0"/>
      <w:marTop w:val="0"/>
      <w:marBottom w:val="0"/>
      <w:divBdr>
        <w:top w:val="none" w:sz="0" w:space="0" w:color="auto"/>
        <w:left w:val="none" w:sz="0" w:space="0" w:color="auto"/>
        <w:bottom w:val="none" w:sz="0" w:space="0" w:color="auto"/>
        <w:right w:val="none" w:sz="0" w:space="0" w:color="auto"/>
      </w:divBdr>
    </w:div>
    <w:div w:id="2069960013">
      <w:bodyDiv w:val="1"/>
      <w:marLeft w:val="0"/>
      <w:marRight w:val="0"/>
      <w:marTop w:val="0"/>
      <w:marBottom w:val="0"/>
      <w:divBdr>
        <w:top w:val="none" w:sz="0" w:space="0" w:color="auto"/>
        <w:left w:val="none" w:sz="0" w:space="0" w:color="auto"/>
        <w:bottom w:val="none" w:sz="0" w:space="0" w:color="auto"/>
        <w:right w:val="none" w:sz="0" w:space="0" w:color="auto"/>
      </w:divBdr>
    </w:div>
    <w:div w:id="2081321576">
      <w:bodyDiv w:val="1"/>
      <w:marLeft w:val="0"/>
      <w:marRight w:val="0"/>
      <w:marTop w:val="0"/>
      <w:marBottom w:val="0"/>
      <w:divBdr>
        <w:top w:val="none" w:sz="0" w:space="0" w:color="auto"/>
        <w:left w:val="none" w:sz="0" w:space="0" w:color="auto"/>
        <w:bottom w:val="none" w:sz="0" w:space="0" w:color="auto"/>
        <w:right w:val="none" w:sz="0" w:space="0" w:color="auto"/>
      </w:divBdr>
    </w:div>
    <w:div w:id="2085495501">
      <w:bodyDiv w:val="1"/>
      <w:marLeft w:val="0"/>
      <w:marRight w:val="0"/>
      <w:marTop w:val="0"/>
      <w:marBottom w:val="0"/>
      <w:divBdr>
        <w:top w:val="none" w:sz="0" w:space="0" w:color="auto"/>
        <w:left w:val="none" w:sz="0" w:space="0" w:color="auto"/>
        <w:bottom w:val="none" w:sz="0" w:space="0" w:color="auto"/>
        <w:right w:val="none" w:sz="0" w:space="0" w:color="auto"/>
      </w:divBdr>
    </w:div>
    <w:div w:id="2091123716">
      <w:bodyDiv w:val="1"/>
      <w:marLeft w:val="0"/>
      <w:marRight w:val="0"/>
      <w:marTop w:val="0"/>
      <w:marBottom w:val="0"/>
      <w:divBdr>
        <w:top w:val="none" w:sz="0" w:space="0" w:color="auto"/>
        <w:left w:val="none" w:sz="0" w:space="0" w:color="auto"/>
        <w:bottom w:val="none" w:sz="0" w:space="0" w:color="auto"/>
        <w:right w:val="none" w:sz="0" w:space="0" w:color="auto"/>
      </w:divBdr>
    </w:div>
    <w:div w:id="2092702368">
      <w:bodyDiv w:val="1"/>
      <w:marLeft w:val="0"/>
      <w:marRight w:val="0"/>
      <w:marTop w:val="0"/>
      <w:marBottom w:val="0"/>
      <w:divBdr>
        <w:top w:val="none" w:sz="0" w:space="0" w:color="auto"/>
        <w:left w:val="none" w:sz="0" w:space="0" w:color="auto"/>
        <w:bottom w:val="none" w:sz="0" w:space="0" w:color="auto"/>
        <w:right w:val="none" w:sz="0" w:space="0" w:color="auto"/>
      </w:divBdr>
    </w:div>
    <w:div w:id="2101171180">
      <w:bodyDiv w:val="1"/>
      <w:marLeft w:val="0"/>
      <w:marRight w:val="0"/>
      <w:marTop w:val="0"/>
      <w:marBottom w:val="0"/>
      <w:divBdr>
        <w:top w:val="none" w:sz="0" w:space="0" w:color="auto"/>
        <w:left w:val="none" w:sz="0" w:space="0" w:color="auto"/>
        <w:bottom w:val="none" w:sz="0" w:space="0" w:color="auto"/>
        <w:right w:val="none" w:sz="0" w:space="0" w:color="auto"/>
      </w:divBdr>
    </w:div>
    <w:div w:id="2106417090">
      <w:bodyDiv w:val="1"/>
      <w:marLeft w:val="0"/>
      <w:marRight w:val="0"/>
      <w:marTop w:val="0"/>
      <w:marBottom w:val="0"/>
      <w:divBdr>
        <w:top w:val="none" w:sz="0" w:space="0" w:color="auto"/>
        <w:left w:val="none" w:sz="0" w:space="0" w:color="auto"/>
        <w:bottom w:val="none" w:sz="0" w:space="0" w:color="auto"/>
        <w:right w:val="none" w:sz="0" w:space="0" w:color="auto"/>
      </w:divBdr>
    </w:div>
    <w:div w:id="2106732357">
      <w:bodyDiv w:val="1"/>
      <w:marLeft w:val="0"/>
      <w:marRight w:val="0"/>
      <w:marTop w:val="0"/>
      <w:marBottom w:val="0"/>
      <w:divBdr>
        <w:top w:val="none" w:sz="0" w:space="0" w:color="auto"/>
        <w:left w:val="none" w:sz="0" w:space="0" w:color="auto"/>
        <w:bottom w:val="none" w:sz="0" w:space="0" w:color="auto"/>
        <w:right w:val="none" w:sz="0" w:space="0" w:color="auto"/>
      </w:divBdr>
    </w:div>
    <w:div w:id="2107260864">
      <w:bodyDiv w:val="1"/>
      <w:marLeft w:val="0"/>
      <w:marRight w:val="0"/>
      <w:marTop w:val="0"/>
      <w:marBottom w:val="0"/>
      <w:divBdr>
        <w:top w:val="none" w:sz="0" w:space="0" w:color="auto"/>
        <w:left w:val="none" w:sz="0" w:space="0" w:color="auto"/>
        <w:bottom w:val="none" w:sz="0" w:space="0" w:color="auto"/>
        <w:right w:val="none" w:sz="0" w:space="0" w:color="auto"/>
      </w:divBdr>
    </w:div>
    <w:div w:id="2108889319">
      <w:bodyDiv w:val="1"/>
      <w:marLeft w:val="0"/>
      <w:marRight w:val="0"/>
      <w:marTop w:val="0"/>
      <w:marBottom w:val="0"/>
      <w:divBdr>
        <w:top w:val="none" w:sz="0" w:space="0" w:color="auto"/>
        <w:left w:val="none" w:sz="0" w:space="0" w:color="auto"/>
        <w:bottom w:val="none" w:sz="0" w:space="0" w:color="auto"/>
        <w:right w:val="none" w:sz="0" w:space="0" w:color="auto"/>
      </w:divBdr>
    </w:div>
    <w:div w:id="2109764572">
      <w:bodyDiv w:val="1"/>
      <w:marLeft w:val="0"/>
      <w:marRight w:val="0"/>
      <w:marTop w:val="0"/>
      <w:marBottom w:val="0"/>
      <w:divBdr>
        <w:top w:val="none" w:sz="0" w:space="0" w:color="auto"/>
        <w:left w:val="none" w:sz="0" w:space="0" w:color="auto"/>
        <w:bottom w:val="none" w:sz="0" w:space="0" w:color="auto"/>
        <w:right w:val="none" w:sz="0" w:space="0" w:color="auto"/>
      </w:divBdr>
    </w:div>
    <w:div w:id="2126194304">
      <w:bodyDiv w:val="1"/>
      <w:marLeft w:val="0"/>
      <w:marRight w:val="0"/>
      <w:marTop w:val="0"/>
      <w:marBottom w:val="0"/>
      <w:divBdr>
        <w:top w:val="none" w:sz="0" w:space="0" w:color="auto"/>
        <w:left w:val="none" w:sz="0" w:space="0" w:color="auto"/>
        <w:bottom w:val="none" w:sz="0" w:space="0" w:color="auto"/>
        <w:right w:val="none" w:sz="0" w:space="0" w:color="auto"/>
      </w:divBdr>
    </w:div>
    <w:div w:id="2128962082">
      <w:bodyDiv w:val="1"/>
      <w:marLeft w:val="0"/>
      <w:marRight w:val="0"/>
      <w:marTop w:val="0"/>
      <w:marBottom w:val="0"/>
      <w:divBdr>
        <w:top w:val="none" w:sz="0" w:space="0" w:color="auto"/>
        <w:left w:val="none" w:sz="0" w:space="0" w:color="auto"/>
        <w:bottom w:val="none" w:sz="0" w:space="0" w:color="auto"/>
        <w:right w:val="none" w:sz="0" w:space="0" w:color="auto"/>
      </w:divBdr>
    </w:div>
    <w:div w:id="2131586106">
      <w:bodyDiv w:val="1"/>
      <w:marLeft w:val="0"/>
      <w:marRight w:val="0"/>
      <w:marTop w:val="0"/>
      <w:marBottom w:val="0"/>
      <w:divBdr>
        <w:top w:val="none" w:sz="0" w:space="0" w:color="auto"/>
        <w:left w:val="none" w:sz="0" w:space="0" w:color="auto"/>
        <w:bottom w:val="none" w:sz="0" w:space="0" w:color="auto"/>
        <w:right w:val="none" w:sz="0" w:space="0" w:color="auto"/>
      </w:divBdr>
    </w:div>
    <w:div w:id="2141997236">
      <w:bodyDiv w:val="1"/>
      <w:marLeft w:val="0"/>
      <w:marRight w:val="0"/>
      <w:marTop w:val="0"/>
      <w:marBottom w:val="0"/>
      <w:divBdr>
        <w:top w:val="none" w:sz="0" w:space="0" w:color="auto"/>
        <w:left w:val="none" w:sz="0" w:space="0" w:color="auto"/>
        <w:bottom w:val="none" w:sz="0" w:space="0" w:color="auto"/>
        <w:right w:val="none" w:sz="0" w:space="0" w:color="auto"/>
      </w:divBdr>
    </w:div>
    <w:div w:id="214369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jpg"/><Relationship Id="rId26" Type="http://schemas.openxmlformats.org/officeDocument/2006/relationships/chart" Target="charts/chart11.xml"/><Relationship Id="rId39" Type="http://schemas.openxmlformats.org/officeDocument/2006/relationships/chart" Target="charts/chart24.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image" Target="media/image4.png"/><Relationship Id="rId47" Type="http://schemas.openxmlformats.org/officeDocument/2006/relationships/chart" Target="charts/chart31.xml"/><Relationship Id="rId50" Type="http://schemas.openxmlformats.org/officeDocument/2006/relationships/header" Target="header3.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chart" Target="charts/chart30.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chart" Target="charts/chart2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29.xml"/><Relationship Id="rId53"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chart" Target="charts/chart33.xml"/><Relationship Id="rId10" Type="http://schemas.openxmlformats.org/officeDocument/2006/relationships/image" Target="media/image2.png"/><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chart" Target="charts/chart28.xm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7.xml"/><Relationship Id="rId48" Type="http://schemas.openxmlformats.org/officeDocument/2006/relationships/chart" Target="charts/chart32.xml"/><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8\Report%20Draft\Audit%20Service%20Agencies%20analysi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8\Report%20Draft\Central%20Audit%20Rolling%202018.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8\Report%20Draft\2018%20BIA%20Compar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8\Report%20Draft\Risk%20metrics%20iso%20services%20agenice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8\Report%20Draft\RA%20Projections%202018.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8\Report%20Draft\Annual%20Report%20Metrics%20with%20Charts%20Final%204.22.1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8\Report%20Draft\Copy%20of%202018%20Annual%20Report%20Metrics%20with%20Charts6.18.18_M_C_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7\2017%20metrics\2017%20Annual%20Report%20Metrics%20with%20Chart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7\2017%20metrics\2017%20Annual%20Report%20Metrics%20with%20Chart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8\Report%20Draft\Copy%20of%202018%20Annual%20Report%20Metrics%20with%20Charts6.18.18_M_C_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8\Report%20Draft\Copy%20of%202018%20Annual%20Report%20Metrics%20with%20Charts6.18.18_M_C_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8\Report%20Draft\Annual%20Report%20Metrics%20with%20Charts%20Final%204.22.19.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8\Report%20Draft\Copy%20of%202018%20Annual%20Report%20Metrics%20with%20Charts6.18.18_M_C_3.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8\Report%20Draft\Annual%20Report%20Metrics%20with%20Charts%20Final4.10.19.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8\Report%20Draft\Copy%20of%202018%20Annual%20Report%20Metrics%20with%20Charts6.18.18_M_C_3.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8\Report%20Draft\Copy%20of%202018%20Annual%20Report%20Metrics%20with%20Charts6.18.18_M_C_3.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8\Report%20Draft\Annual%20Report%20Metrics%20with%20Charts%20Final%204.22.19.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ov-rpb-nas002\csd\SEC\Agencies%20by%20Secretariat\1.%20Tools\Compliance%20Tracking\2018\2018%20Datapoints%20Files\NCSR%20Survey%20%20Anlaysis%2016.17.18.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ov-rpb-nas002\csd\SEC\Agencies%20by%20Secretariat\1.%20Tools\Compliance%20Tracking\2018\2018%20Datapoints%20Files\NCSR%20Survey%20%20Anlaysis%2016.17.18.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hyq44996\Desktop\Annual%20Report%20Update\NCSR%20Charts.txt"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30.xml.rels><?xml version="1.0" encoding="UTF-8" standalone="yes"?>
<Relationships xmlns="http://schemas.openxmlformats.org/package/2006/relationships"><Relationship Id="rId1" Type="http://schemas.openxmlformats.org/officeDocument/2006/relationships/oleObject" Target="file:///C:\Users\hyq44996\Desktop\Annual%20Report%20Update\NCSR%20Charts.txt"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hyq44996\Desktop\Annual%20Report%20Update\NCSR%20Charts.txt"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hyq44996\Desktop\Annual%20Report%20Update\NCSR%20Charts.txt"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hyq44996\Desktop\Annual%20Report%20Update\NCSR%20Charts.txt"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751112632660045E-2"/>
          <c:y val="0.1460325697924123"/>
          <c:w val="0.89586936632920888"/>
          <c:h val="0.62209933985524535"/>
        </c:manualLayout>
      </c:layout>
      <c:barChart>
        <c:barDir val="col"/>
        <c:grouping val="clustered"/>
        <c:varyColors val="0"/>
        <c:ser>
          <c:idx val="0"/>
          <c:order val="0"/>
          <c:tx>
            <c:strRef>
              <c:f>Sheet1!$B$1</c:f>
              <c:strCache>
                <c:ptCount val="1"/>
                <c:pt idx="0">
                  <c:v>Jan-18</c:v>
                </c:pt>
              </c:strCache>
            </c:strRef>
          </c:tx>
          <c:spPr>
            <a:solidFill>
              <a:srgbClr val="CD3342"/>
            </a:solidFill>
          </c:spPr>
          <c:invertIfNegative val="0"/>
          <c:cat>
            <c:strRef>
              <c:f>Sheet1!$A$2:$A$8</c:f>
              <c:strCache>
                <c:ptCount val="7"/>
                <c:pt idx="0">
                  <c:v>Denial of Service</c:v>
                </c:pt>
                <c:pt idx="1">
                  <c:v>Malware</c:v>
                </c:pt>
                <c:pt idx="2">
                  <c:v>Inappropriate Use</c:v>
                </c:pt>
                <c:pt idx="3">
                  <c:v>Physical Loss</c:v>
                </c:pt>
                <c:pt idx="4">
                  <c:v>Social Engineering</c:v>
                </c:pt>
                <c:pt idx="5">
                  <c:v>Information Disclosure</c:v>
                </c:pt>
                <c:pt idx="6">
                  <c:v>Unathorized Access</c:v>
                </c:pt>
              </c:strCache>
            </c:strRef>
          </c:cat>
          <c:val>
            <c:numRef>
              <c:f>Sheet1!$B$2:$B$8</c:f>
              <c:numCache>
                <c:formatCode>General</c:formatCode>
                <c:ptCount val="7"/>
                <c:pt idx="0">
                  <c:v>1</c:v>
                </c:pt>
                <c:pt idx="1">
                  <c:v>2</c:v>
                </c:pt>
                <c:pt idx="2">
                  <c:v>0</c:v>
                </c:pt>
                <c:pt idx="3">
                  <c:v>7</c:v>
                </c:pt>
                <c:pt idx="4">
                  <c:v>0</c:v>
                </c:pt>
                <c:pt idx="5">
                  <c:v>1</c:v>
                </c:pt>
                <c:pt idx="6">
                  <c:v>0</c:v>
                </c:pt>
              </c:numCache>
            </c:numRef>
          </c:val>
          <c:extLst xmlns:c16r2="http://schemas.microsoft.com/office/drawing/2015/06/chart">
            <c:ext xmlns:c16="http://schemas.microsoft.com/office/drawing/2014/chart" uri="{C3380CC4-5D6E-409C-BE32-E72D297353CC}">
              <c16:uniqueId val="{00000000-7245-43EE-9F5B-1F78BD3B7F92}"/>
            </c:ext>
          </c:extLst>
        </c:ser>
        <c:ser>
          <c:idx val="1"/>
          <c:order val="1"/>
          <c:tx>
            <c:strRef>
              <c:f>Sheet1!$C$1</c:f>
              <c:strCache>
                <c:ptCount val="1"/>
                <c:pt idx="0">
                  <c:v>Feb-18</c:v>
                </c:pt>
              </c:strCache>
            </c:strRef>
          </c:tx>
          <c:invertIfNegative val="0"/>
          <c:cat>
            <c:strRef>
              <c:f>Sheet1!$A$2:$A$8</c:f>
              <c:strCache>
                <c:ptCount val="7"/>
                <c:pt idx="0">
                  <c:v>Denial of Service</c:v>
                </c:pt>
                <c:pt idx="1">
                  <c:v>Malware</c:v>
                </c:pt>
                <c:pt idx="2">
                  <c:v>Inappropriate Use</c:v>
                </c:pt>
                <c:pt idx="3">
                  <c:v>Physical Loss</c:v>
                </c:pt>
                <c:pt idx="4">
                  <c:v>Social Engineering</c:v>
                </c:pt>
                <c:pt idx="5">
                  <c:v>Information Disclosure</c:v>
                </c:pt>
                <c:pt idx="6">
                  <c:v>Unathorized Access</c:v>
                </c:pt>
              </c:strCache>
            </c:strRef>
          </c:cat>
          <c:val>
            <c:numRef>
              <c:f>Sheet1!$C$2:$C$8</c:f>
              <c:numCache>
                <c:formatCode>General</c:formatCode>
                <c:ptCount val="7"/>
                <c:pt idx="0">
                  <c:v>1</c:v>
                </c:pt>
                <c:pt idx="1">
                  <c:v>9</c:v>
                </c:pt>
                <c:pt idx="2">
                  <c:v>0</c:v>
                </c:pt>
                <c:pt idx="3">
                  <c:v>6</c:v>
                </c:pt>
                <c:pt idx="4" formatCode="0">
                  <c:v>0</c:v>
                </c:pt>
                <c:pt idx="5">
                  <c:v>7</c:v>
                </c:pt>
                <c:pt idx="6">
                  <c:v>0</c:v>
                </c:pt>
              </c:numCache>
            </c:numRef>
          </c:val>
          <c:extLst xmlns:c16r2="http://schemas.microsoft.com/office/drawing/2015/06/chart">
            <c:ext xmlns:c16="http://schemas.microsoft.com/office/drawing/2014/chart" uri="{C3380CC4-5D6E-409C-BE32-E72D297353CC}">
              <c16:uniqueId val="{00000001-7245-43EE-9F5B-1F78BD3B7F92}"/>
            </c:ext>
          </c:extLst>
        </c:ser>
        <c:ser>
          <c:idx val="2"/>
          <c:order val="2"/>
          <c:tx>
            <c:strRef>
              <c:f>Sheet1!$D$1</c:f>
              <c:strCache>
                <c:ptCount val="1"/>
                <c:pt idx="0">
                  <c:v>Mar-18</c:v>
                </c:pt>
              </c:strCache>
            </c:strRef>
          </c:tx>
          <c:spPr>
            <a:solidFill>
              <a:srgbClr val="7030A0"/>
            </a:solidFill>
          </c:spPr>
          <c:invertIfNegative val="0"/>
          <c:cat>
            <c:strRef>
              <c:f>Sheet1!$A$2:$A$8</c:f>
              <c:strCache>
                <c:ptCount val="7"/>
                <c:pt idx="0">
                  <c:v>Denial of Service</c:v>
                </c:pt>
                <c:pt idx="1">
                  <c:v>Malware</c:v>
                </c:pt>
                <c:pt idx="2">
                  <c:v>Inappropriate Use</c:v>
                </c:pt>
                <c:pt idx="3">
                  <c:v>Physical Loss</c:v>
                </c:pt>
                <c:pt idx="4">
                  <c:v>Social Engineering</c:v>
                </c:pt>
                <c:pt idx="5">
                  <c:v>Information Disclosure</c:v>
                </c:pt>
                <c:pt idx="6">
                  <c:v>Unathorized Access</c:v>
                </c:pt>
              </c:strCache>
            </c:strRef>
          </c:cat>
          <c:val>
            <c:numRef>
              <c:f>Sheet1!$D$2:$D$8</c:f>
              <c:numCache>
                <c:formatCode>General</c:formatCode>
                <c:ptCount val="7"/>
                <c:pt idx="0">
                  <c:v>0</c:v>
                </c:pt>
                <c:pt idx="1">
                  <c:v>6</c:v>
                </c:pt>
                <c:pt idx="2">
                  <c:v>0</c:v>
                </c:pt>
                <c:pt idx="3">
                  <c:v>0</c:v>
                </c:pt>
                <c:pt idx="4">
                  <c:v>0</c:v>
                </c:pt>
                <c:pt idx="5">
                  <c:v>6</c:v>
                </c:pt>
                <c:pt idx="6">
                  <c:v>1</c:v>
                </c:pt>
              </c:numCache>
            </c:numRef>
          </c:val>
          <c:extLst xmlns:c16r2="http://schemas.microsoft.com/office/drawing/2015/06/chart">
            <c:ext xmlns:c16="http://schemas.microsoft.com/office/drawing/2014/chart" uri="{C3380CC4-5D6E-409C-BE32-E72D297353CC}">
              <c16:uniqueId val="{00000002-7245-43EE-9F5B-1F78BD3B7F92}"/>
            </c:ext>
          </c:extLst>
        </c:ser>
        <c:ser>
          <c:idx val="3"/>
          <c:order val="3"/>
          <c:tx>
            <c:strRef>
              <c:f>Sheet1!$E$1</c:f>
              <c:strCache>
                <c:ptCount val="1"/>
                <c:pt idx="0">
                  <c:v>Apr-18</c:v>
                </c:pt>
              </c:strCache>
            </c:strRef>
          </c:tx>
          <c:invertIfNegative val="0"/>
          <c:cat>
            <c:strRef>
              <c:f>Sheet1!$A$2:$A$8</c:f>
              <c:strCache>
                <c:ptCount val="7"/>
                <c:pt idx="0">
                  <c:v>Denial of Service</c:v>
                </c:pt>
                <c:pt idx="1">
                  <c:v>Malware</c:v>
                </c:pt>
                <c:pt idx="2">
                  <c:v>Inappropriate Use</c:v>
                </c:pt>
                <c:pt idx="3">
                  <c:v>Physical Loss</c:v>
                </c:pt>
                <c:pt idx="4">
                  <c:v>Social Engineering</c:v>
                </c:pt>
                <c:pt idx="5">
                  <c:v>Information Disclosure</c:v>
                </c:pt>
                <c:pt idx="6">
                  <c:v>Unathorized Access</c:v>
                </c:pt>
              </c:strCache>
            </c:strRef>
          </c:cat>
          <c:val>
            <c:numRef>
              <c:f>Sheet1!$E$2:$E$8</c:f>
              <c:numCache>
                <c:formatCode>General</c:formatCode>
                <c:ptCount val="7"/>
                <c:pt idx="0">
                  <c:v>1</c:v>
                </c:pt>
                <c:pt idx="1">
                  <c:v>2</c:v>
                </c:pt>
                <c:pt idx="2">
                  <c:v>0</c:v>
                </c:pt>
                <c:pt idx="3">
                  <c:v>5</c:v>
                </c:pt>
                <c:pt idx="4">
                  <c:v>0</c:v>
                </c:pt>
                <c:pt idx="5">
                  <c:v>3</c:v>
                </c:pt>
                <c:pt idx="6">
                  <c:v>0</c:v>
                </c:pt>
              </c:numCache>
            </c:numRef>
          </c:val>
          <c:extLst xmlns:c16r2="http://schemas.microsoft.com/office/drawing/2015/06/chart">
            <c:ext xmlns:c16="http://schemas.microsoft.com/office/drawing/2014/chart" uri="{C3380CC4-5D6E-409C-BE32-E72D297353CC}">
              <c16:uniqueId val="{00000003-7245-43EE-9F5B-1F78BD3B7F92}"/>
            </c:ext>
          </c:extLst>
        </c:ser>
        <c:ser>
          <c:idx val="4"/>
          <c:order val="4"/>
          <c:tx>
            <c:strRef>
              <c:f>Sheet1!$F$1</c:f>
              <c:strCache>
                <c:ptCount val="1"/>
                <c:pt idx="0">
                  <c:v>May-18</c:v>
                </c:pt>
              </c:strCache>
            </c:strRef>
          </c:tx>
          <c:spPr>
            <a:solidFill>
              <a:srgbClr val="FFC000"/>
            </a:solidFill>
            <a:ln>
              <a:solidFill>
                <a:srgbClr val="FFC000"/>
              </a:solidFill>
            </a:ln>
          </c:spPr>
          <c:invertIfNegative val="0"/>
          <c:cat>
            <c:strRef>
              <c:f>Sheet1!$A$2:$A$8</c:f>
              <c:strCache>
                <c:ptCount val="7"/>
                <c:pt idx="0">
                  <c:v>Denial of Service</c:v>
                </c:pt>
                <c:pt idx="1">
                  <c:v>Malware</c:v>
                </c:pt>
                <c:pt idx="2">
                  <c:v>Inappropriate Use</c:v>
                </c:pt>
                <c:pt idx="3">
                  <c:v>Physical Loss</c:v>
                </c:pt>
                <c:pt idx="4">
                  <c:v>Social Engineering</c:v>
                </c:pt>
                <c:pt idx="5">
                  <c:v>Information Disclosure</c:v>
                </c:pt>
                <c:pt idx="6">
                  <c:v>Unathorized Access</c:v>
                </c:pt>
              </c:strCache>
            </c:strRef>
          </c:cat>
          <c:val>
            <c:numRef>
              <c:f>Sheet1!$F$2:$F$8</c:f>
              <c:numCache>
                <c:formatCode>General</c:formatCode>
                <c:ptCount val="7"/>
                <c:pt idx="0">
                  <c:v>0</c:v>
                </c:pt>
                <c:pt idx="1">
                  <c:v>2</c:v>
                </c:pt>
                <c:pt idx="2">
                  <c:v>0</c:v>
                </c:pt>
                <c:pt idx="3">
                  <c:v>4</c:v>
                </c:pt>
                <c:pt idx="4">
                  <c:v>0</c:v>
                </c:pt>
                <c:pt idx="5">
                  <c:v>2</c:v>
                </c:pt>
                <c:pt idx="6">
                  <c:v>1</c:v>
                </c:pt>
              </c:numCache>
            </c:numRef>
          </c:val>
          <c:extLst xmlns:c16r2="http://schemas.microsoft.com/office/drawing/2015/06/chart">
            <c:ext xmlns:c16="http://schemas.microsoft.com/office/drawing/2014/chart" uri="{C3380CC4-5D6E-409C-BE32-E72D297353CC}">
              <c16:uniqueId val="{00000004-7245-43EE-9F5B-1F78BD3B7F92}"/>
            </c:ext>
          </c:extLst>
        </c:ser>
        <c:ser>
          <c:idx val="5"/>
          <c:order val="5"/>
          <c:tx>
            <c:strRef>
              <c:f>Sheet1!$G$1</c:f>
              <c:strCache>
                <c:ptCount val="1"/>
                <c:pt idx="0">
                  <c:v>Jun-18</c:v>
                </c:pt>
              </c:strCache>
            </c:strRef>
          </c:tx>
          <c:invertIfNegative val="0"/>
          <c:cat>
            <c:strRef>
              <c:f>Sheet1!$A$2:$A$8</c:f>
              <c:strCache>
                <c:ptCount val="7"/>
                <c:pt idx="0">
                  <c:v>Denial of Service</c:v>
                </c:pt>
                <c:pt idx="1">
                  <c:v>Malware</c:v>
                </c:pt>
                <c:pt idx="2">
                  <c:v>Inappropriate Use</c:v>
                </c:pt>
                <c:pt idx="3">
                  <c:v>Physical Loss</c:v>
                </c:pt>
                <c:pt idx="4">
                  <c:v>Social Engineering</c:v>
                </c:pt>
                <c:pt idx="5">
                  <c:v>Information Disclosure</c:v>
                </c:pt>
                <c:pt idx="6">
                  <c:v>Unathorized Access</c:v>
                </c:pt>
              </c:strCache>
            </c:strRef>
          </c:cat>
          <c:val>
            <c:numRef>
              <c:f>Sheet1!$G$2:$G$8</c:f>
              <c:numCache>
                <c:formatCode>General</c:formatCode>
                <c:ptCount val="7"/>
                <c:pt idx="0">
                  <c:v>0</c:v>
                </c:pt>
                <c:pt idx="1">
                  <c:v>0</c:v>
                </c:pt>
                <c:pt idx="2">
                  <c:v>0</c:v>
                </c:pt>
                <c:pt idx="3">
                  <c:v>2</c:v>
                </c:pt>
                <c:pt idx="4">
                  <c:v>0</c:v>
                </c:pt>
                <c:pt idx="5">
                  <c:v>4</c:v>
                </c:pt>
                <c:pt idx="6">
                  <c:v>2</c:v>
                </c:pt>
              </c:numCache>
            </c:numRef>
          </c:val>
          <c:extLst xmlns:c16r2="http://schemas.microsoft.com/office/drawing/2015/06/chart">
            <c:ext xmlns:c16="http://schemas.microsoft.com/office/drawing/2014/chart" uri="{C3380CC4-5D6E-409C-BE32-E72D297353CC}">
              <c16:uniqueId val="{00000005-7245-43EE-9F5B-1F78BD3B7F92}"/>
            </c:ext>
          </c:extLst>
        </c:ser>
        <c:ser>
          <c:idx val="6"/>
          <c:order val="6"/>
          <c:tx>
            <c:strRef>
              <c:f>Sheet1!$H$1</c:f>
              <c:strCache>
                <c:ptCount val="1"/>
                <c:pt idx="0">
                  <c:v>Jul-18</c:v>
                </c:pt>
              </c:strCache>
            </c:strRef>
          </c:tx>
          <c:invertIfNegative val="0"/>
          <c:cat>
            <c:strRef>
              <c:f>Sheet1!$A$2:$A$8</c:f>
              <c:strCache>
                <c:ptCount val="7"/>
                <c:pt idx="0">
                  <c:v>Denial of Service</c:v>
                </c:pt>
                <c:pt idx="1">
                  <c:v>Malware</c:v>
                </c:pt>
                <c:pt idx="2">
                  <c:v>Inappropriate Use</c:v>
                </c:pt>
                <c:pt idx="3">
                  <c:v>Physical Loss</c:v>
                </c:pt>
                <c:pt idx="4">
                  <c:v>Social Engineering</c:v>
                </c:pt>
                <c:pt idx="5">
                  <c:v>Information Disclosure</c:v>
                </c:pt>
                <c:pt idx="6">
                  <c:v>Unathorized Access</c:v>
                </c:pt>
              </c:strCache>
            </c:strRef>
          </c:cat>
          <c:val>
            <c:numRef>
              <c:f>Sheet1!$H$2:$H$8</c:f>
              <c:numCache>
                <c:formatCode>General</c:formatCode>
                <c:ptCount val="7"/>
                <c:pt idx="0">
                  <c:v>0</c:v>
                </c:pt>
                <c:pt idx="1">
                  <c:v>0</c:v>
                </c:pt>
                <c:pt idx="2">
                  <c:v>0</c:v>
                </c:pt>
                <c:pt idx="3">
                  <c:v>5</c:v>
                </c:pt>
                <c:pt idx="4">
                  <c:v>1</c:v>
                </c:pt>
                <c:pt idx="5">
                  <c:v>2</c:v>
                </c:pt>
                <c:pt idx="6">
                  <c:v>4</c:v>
                </c:pt>
              </c:numCache>
            </c:numRef>
          </c:val>
          <c:extLst xmlns:c16r2="http://schemas.microsoft.com/office/drawing/2015/06/chart">
            <c:ext xmlns:c16="http://schemas.microsoft.com/office/drawing/2014/chart" uri="{C3380CC4-5D6E-409C-BE32-E72D297353CC}">
              <c16:uniqueId val="{00000006-7245-43EE-9F5B-1F78BD3B7F92}"/>
            </c:ext>
          </c:extLst>
        </c:ser>
        <c:ser>
          <c:idx val="7"/>
          <c:order val="7"/>
          <c:tx>
            <c:strRef>
              <c:f>Sheet1!$I$1</c:f>
              <c:strCache>
                <c:ptCount val="1"/>
                <c:pt idx="0">
                  <c:v>Aug-18</c:v>
                </c:pt>
              </c:strCache>
            </c:strRef>
          </c:tx>
          <c:invertIfNegative val="0"/>
          <c:cat>
            <c:strRef>
              <c:f>Sheet1!$A$2:$A$8</c:f>
              <c:strCache>
                <c:ptCount val="7"/>
                <c:pt idx="0">
                  <c:v>Denial of Service</c:v>
                </c:pt>
                <c:pt idx="1">
                  <c:v>Malware</c:v>
                </c:pt>
                <c:pt idx="2">
                  <c:v>Inappropriate Use</c:v>
                </c:pt>
                <c:pt idx="3">
                  <c:v>Physical Loss</c:v>
                </c:pt>
                <c:pt idx="4">
                  <c:v>Social Engineering</c:v>
                </c:pt>
                <c:pt idx="5">
                  <c:v>Information Disclosure</c:v>
                </c:pt>
                <c:pt idx="6">
                  <c:v>Unathorized Access</c:v>
                </c:pt>
              </c:strCache>
            </c:strRef>
          </c:cat>
          <c:val>
            <c:numRef>
              <c:f>Sheet1!$I$2:$I$8</c:f>
              <c:numCache>
                <c:formatCode>General</c:formatCode>
                <c:ptCount val="7"/>
                <c:pt idx="0">
                  <c:v>2</c:v>
                </c:pt>
                <c:pt idx="1">
                  <c:v>1</c:v>
                </c:pt>
                <c:pt idx="2">
                  <c:v>2</c:v>
                </c:pt>
                <c:pt idx="3">
                  <c:v>7</c:v>
                </c:pt>
                <c:pt idx="4">
                  <c:v>0</c:v>
                </c:pt>
                <c:pt idx="5">
                  <c:v>4</c:v>
                </c:pt>
                <c:pt idx="6">
                  <c:v>0</c:v>
                </c:pt>
              </c:numCache>
            </c:numRef>
          </c:val>
          <c:extLst xmlns:c16r2="http://schemas.microsoft.com/office/drawing/2015/06/chart">
            <c:ext xmlns:c16="http://schemas.microsoft.com/office/drawing/2014/chart" uri="{C3380CC4-5D6E-409C-BE32-E72D297353CC}">
              <c16:uniqueId val="{00000007-7245-43EE-9F5B-1F78BD3B7F92}"/>
            </c:ext>
          </c:extLst>
        </c:ser>
        <c:ser>
          <c:idx val="8"/>
          <c:order val="8"/>
          <c:tx>
            <c:strRef>
              <c:f>Sheet1!$J$1</c:f>
              <c:strCache>
                <c:ptCount val="1"/>
                <c:pt idx="0">
                  <c:v>Sep-18</c:v>
                </c:pt>
              </c:strCache>
            </c:strRef>
          </c:tx>
          <c:invertIfNegative val="0"/>
          <c:cat>
            <c:strRef>
              <c:f>Sheet1!$A$2:$A$8</c:f>
              <c:strCache>
                <c:ptCount val="7"/>
                <c:pt idx="0">
                  <c:v>Denial of Service</c:v>
                </c:pt>
                <c:pt idx="1">
                  <c:v>Malware</c:v>
                </c:pt>
                <c:pt idx="2">
                  <c:v>Inappropriate Use</c:v>
                </c:pt>
                <c:pt idx="3">
                  <c:v>Physical Loss</c:v>
                </c:pt>
                <c:pt idx="4">
                  <c:v>Social Engineering</c:v>
                </c:pt>
                <c:pt idx="5">
                  <c:v>Information Disclosure</c:v>
                </c:pt>
                <c:pt idx="6">
                  <c:v>Unathorized Access</c:v>
                </c:pt>
              </c:strCache>
            </c:strRef>
          </c:cat>
          <c:val>
            <c:numRef>
              <c:f>Sheet1!$J$2:$J$8</c:f>
              <c:numCache>
                <c:formatCode>General</c:formatCode>
                <c:ptCount val="7"/>
                <c:pt idx="0">
                  <c:v>0</c:v>
                </c:pt>
                <c:pt idx="1">
                  <c:v>3</c:v>
                </c:pt>
                <c:pt idx="2">
                  <c:v>0</c:v>
                </c:pt>
                <c:pt idx="3">
                  <c:v>2</c:v>
                </c:pt>
                <c:pt idx="4">
                  <c:v>1</c:v>
                </c:pt>
                <c:pt idx="5">
                  <c:v>3</c:v>
                </c:pt>
                <c:pt idx="6">
                  <c:v>0</c:v>
                </c:pt>
              </c:numCache>
            </c:numRef>
          </c:val>
          <c:extLst xmlns:c16r2="http://schemas.microsoft.com/office/drawing/2015/06/chart">
            <c:ext xmlns:c16="http://schemas.microsoft.com/office/drawing/2014/chart" uri="{C3380CC4-5D6E-409C-BE32-E72D297353CC}">
              <c16:uniqueId val="{00000008-7245-43EE-9F5B-1F78BD3B7F92}"/>
            </c:ext>
          </c:extLst>
        </c:ser>
        <c:ser>
          <c:idx val="9"/>
          <c:order val="9"/>
          <c:tx>
            <c:strRef>
              <c:f>Sheet1!$K$1</c:f>
              <c:strCache>
                <c:ptCount val="1"/>
                <c:pt idx="0">
                  <c:v>Oct-18</c:v>
                </c:pt>
              </c:strCache>
            </c:strRef>
          </c:tx>
          <c:invertIfNegative val="0"/>
          <c:cat>
            <c:strRef>
              <c:f>Sheet1!$A$2:$A$8</c:f>
              <c:strCache>
                <c:ptCount val="7"/>
                <c:pt idx="0">
                  <c:v>Denial of Service</c:v>
                </c:pt>
                <c:pt idx="1">
                  <c:v>Malware</c:v>
                </c:pt>
                <c:pt idx="2">
                  <c:v>Inappropriate Use</c:v>
                </c:pt>
                <c:pt idx="3">
                  <c:v>Physical Loss</c:v>
                </c:pt>
                <c:pt idx="4">
                  <c:v>Social Engineering</c:v>
                </c:pt>
                <c:pt idx="5">
                  <c:v>Information Disclosure</c:v>
                </c:pt>
                <c:pt idx="6">
                  <c:v>Unathorized Access</c:v>
                </c:pt>
              </c:strCache>
            </c:strRef>
          </c:cat>
          <c:val>
            <c:numRef>
              <c:f>Sheet1!$K$2:$K$8</c:f>
              <c:numCache>
                <c:formatCode>General</c:formatCode>
                <c:ptCount val="7"/>
                <c:pt idx="0">
                  <c:v>0</c:v>
                </c:pt>
                <c:pt idx="1">
                  <c:v>4</c:v>
                </c:pt>
                <c:pt idx="2">
                  <c:v>1</c:v>
                </c:pt>
                <c:pt idx="3">
                  <c:v>4</c:v>
                </c:pt>
                <c:pt idx="4">
                  <c:v>0</c:v>
                </c:pt>
                <c:pt idx="5">
                  <c:v>1</c:v>
                </c:pt>
                <c:pt idx="6">
                  <c:v>1</c:v>
                </c:pt>
              </c:numCache>
            </c:numRef>
          </c:val>
          <c:extLst xmlns:c16r2="http://schemas.microsoft.com/office/drawing/2015/06/chart">
            <c:ext xmlns:c16="http://schemas.microsoft.com/office/drawing/2014/chart" uri="{C3380CC4-5D6E-409C-BE32-E72D297353CC}">
              <c16:uniqueId val="{00000009-7245-43EE-9F5B-1F78BD3B7F92}"/>
            </c:ext>
          </c:extLst>
        </c:ser>
        <c:ser>
          <c:idx val="10"/>
          <c:order val="10"/>
          <c:tx>
            <c:strRef>
              <c:f>Sheet1!$L$1</c:f>
              <c:strCache>
                <c:ptCount val="1"/>
                <c:pt idx="0">
                  <c:v>Nov-18</c:v>
                </c:pt>
              </c:strCache>
            </c:strRef>
          </c:tx>
          <c:invertIfNegative val="0"/>
          <c:cat>
            <c:strRef>
              <c:f>Sheet1!$A$2:$A$8</c:f>
              <c:strCache>
                <c:ptCount val="7"/>
                <c:pt idx="0">
                  <c:v>Denial of Service</c:v>
                </c:pt>
                <c:pt idx="1">
                  <c:v>Malware</c:v>
                </c:pt>
                <c:pt idx="2">
                  <c:v>Inappropriate Use</c:v>
                </c:pt>
                <c:pt idx="3">
                  <c:v>Physical Loss</c:v>
                </c:pt>
                <c:pt idx="4">
                  <c:v>Social Engineering</c:v>
                </c:pt>
                <c:pt idx="5">
                  <c:v>Information Disclosure</c:v>
                </c:pt>
                <c:pt idx="6">
                  <c:v>Unathorized Access</c:v>
                </c:pt>
              </c:strCache>
            </c:strRef>
          </c:cat>
          <c:val>
            <c:numRef>
              <c:f>Sheet1!$L$2:$L$8</c:f>
              <c:numCache>
                <c:formatCode>General</c:formatCode>
                <c:ptCount val="7"/>
                <c:pt idx="0">
                  <c:v>1</c:v>
                </c:pt>
                <c:pt idx="1">
                  <c:v>1</c:v>
                </c:pt>
                <c:pt idx="2">
                  <c:v>0</c:v>
                </c:pt>
                <c:pt idx="3">
                  <c:v>1</c:v>
                </c:pt>
                <c:pt idx="4">
                  <c:v>0</c:v>
                </c:pt>
                <c:pt idx="5">
                  <c:v>9</c:v>
                </c:pt>
                <c:pt idx="6">
                  <c:v>6</c:v>
                </c:pt>
              </c:numCache>
            </c:numRef>
          </c:val>
          <c:extLst xmlns:c16r2="http://schemas.microsoft.com/office/drawing/2015/06/chart">
            <c:ext xmlns:c16="http://schemas.microsoft.com/office/drawing/2014/chart" uri="{C3380CC4-5D6E-409C-BE32-E72D297353CC}">
              <c16:uniqueId val="{0000000A-7245-43EE-9F5B-1F78BD3B7F92}"/>
            </c:ext>
          </c:extLst>
        </c:ser>
        <c:ser>
          <c:idx val="11"/>
          <c:order val="11"/>
          <c:tx>
            <c:strRef>
              <c:f>Sheet1!$M$1</c:f>
              <c:strCache>
                <c:ptCount val="1"/>
                <c:pt idx="0">
                  <c:v>Dec-18</c:v>
                </c:pt>
              </c:strCache>
            </c:strRef>
          </c:tx>
          <c:invertIfNegative val="0"/>
          <c:cat>
            <c:strRef>
              <c:f>Sheet1!$A$2:$A$8</c:f>
              <c:strCache>
                <c:ptCount val="7"/>
                <c:pt idx="0">
                  <c:v>Denial of Service</c:v>
                </c:pt>
                <c:pt idx="1">
                  <c:v>Malware</c:v>
                </c:pt>
                <c:pt idx="2">
                  <c:v>Inappropriate Use</c:v>
                </c:pt>
                <c:pt idx="3">
                  <c:v>Physical Loss</c:v>
                </c:pt>
                <c:pt idx="4">
                  <c:v>Social Engineering</c:v>
                </c:pt>
                <c:pt idx="5">
                  <c:v>Information Disclosure</c:v>
                </c:pt>
                <c:pt idx="6">
                  <c:v>Unathorized Access</c:v>
                </c:pt>
              </c:strCache>
            </c:strRef>
          </c:cat>
          <c:val>
            <c:numRef>
              <c:f>Sheet1!$M$2:$M$8</c:f>
              <c:numCache>
                <c:formatCode>General</c:formatCode>
                <c:ptCount val="7"/>
                <c:pt idx="0">
                  <c:v>0</c:v>
                </c:pt>
                <c:pt idx="1">
                  <c:v>5</c:v>
                </c:pt>
                <c:pt idx="2">
                  <c:v>0</c:v>
                </c:pt>
                <c:pt idx="3">
                  <c:v>1</c:v>
                </c:pt>
                <c:pt idx="4">
                  <c:v>2</c:v>
                </c:pt>
                <c:pt idx="5">
                  <c:v>2</c:v>
                </c:pt>
                <c:pt idx="6">
                  <c:v>0</c:v>
                </c:pt>
              </c:numCache>
            </c:numRef>
          </c:val>
          <c:extLst xmlns:c16r2="http://schemas.microsoft.com/office/drawing/2015/06/chart">
            <c:ext xmlns:c16="http://schemas.microsoft.com/office/drawing/2014/chart" uri="{C3380CC4-5D6E-409C-BE32-E72D297353CC}">
              <c16:uniqueId val="{0000000B-7245-43EE-9F5B-1F78BD3B7F92}"/>
            </c:ext>
          </c:extLst>
        </c:ser>
        <c:dLbls>
          <c:showLegendKey val="0"/>
          <c:showVal val="0"/>
          <c:showCatName val="0"/>
          <c:showSerName val="0"/>
          <c:showPercent val="0"/>
          <c:showBubbleSize val="0"/>
        </c:dLbls>
        <c:gapWidth val="150"/>
        <c:axId val="34161024"/>
        <c:axId val="34162560"/>
      </c:barChart>
      <c:catAx>
        <c:axId val="34161024"/>
        <c:scaling>
          <c:orientation val="minMax"/>
        </c:scaling>
        <c:delete val="0"/>
        <c:axPos val="b"/>
        <c:numFmt formatCode="General" sourceLinked="0"/>
        <c:majorTickMark val="out"/>
        <c:minorTickMark val="none"/>
        <c:tickLblPos val="nextTo"/>
        <c:txPr>
          <a:bodyPr/>
          <a:lstStyle/>
          <a:p>
            <a:pPr>
              <a:defRPr sz="800"/>
            </a:pPr>
            <a:endParaRPr lang="en-US"/>
          </a:p>
        </c:txPr>
        <c:crossAx val="34162560"/>
        <c:crosses val="autoZero"/>
        <c:auto val="0"/>
        <c:lblAlgn val="ctr"/>
        <c:lblOffset val="100"/>
        <c:noMultiLvlLbl val="0"/>
      </c:catAx>
      <c:valAx>
        <c:axId val="34162560"/>
        <c:scaling>
          <c:orientation val="minMax"/>
          <c:max val="12"/>
          <c:min val="0"/>
        </c:scaling>
        <c:delete val="0"/>
        <c:axPos val="l"/>
        <c:numFmt formatCode="General" sourceLinked="1"/>
        <c:majorTickMark val="out"/>
        <c:minorTickMark val="cross"/>
        <c:tickLblPos val="nextTo"/>
        <c:txPr>
          <a:bodyPr/>
          <a:lstStyle/>
          <a:p>
            <a:pPr>
              <a:defRPr sz="1000"/>
            </a:pPr>
            <a:endParaRPr lang="en-US"/>
          </a:p>
        </c:txPr>
        <c:crossAx val="34161024"/>
        <c:crosses val="autoZero"/>
        <c:crossBetween val="between"/>
      </c:valAx>
      <c:spPr>
        <a:ln>
          <a:noFill/>
        </a:ln>
      </c:spPr>
    </c:plotArea>
    <c:legend>
      <c:legendPos val="b"/>
      <c:layout>
        <c:manualLayout>
          <c:xMode val="edge"/>
          <c:yMode val="edge"/>
          <c:x val="3.4104986876640431E-2"/>
          <c:y val="0.95712332154132906"/>
          <c:w val="0.9652173913043478"/>
          <c:h val="4.2876678458670929E-2"/>
        </c:manualLayout>
      </c:layout>
      <c:overlay val="0"/>
      <c:txPr>
        <a:bodyPr/>
        <a:lstStyle/>
        <a:p>
          <a:pPr>
            <a:defRPr sz="800"/>
          </a:pPr>
          <a:endParaRPr lang="en-US"/>
        </a:p>
      </c:txPr>
    </c:legend>
    <c:plotVisOnly val="1"/>
    <c:dispBlanksAs val="gap"/>
    <c:showDLblsOverMax val="0"/>
  </c:chart>
  <c:spPr>
    <a:ln>
      <a:noFill/>
    </a:ln>
  </c:spPr>
  <c:txPr>
    <a:bodyPr/>
    <a:lstStyle/>
    <a:p>
      <a:pPr>
        <a:defRPr sz="1800">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Verdana" panose="020B0604030504040204" pitchFamily="34" charset="0"/>
                <a:ea typeface="Verdana" panose="020B0604030504040204" pitchFamily="34" charset="0"/>
                <a:cs typeface="Verdana" panose="020B0604030504040204" pitchFamily="34" charset="0"/>
              </a:rPr>
              <a:t>Average Three-Year Audit Obligation </a:t>
            </a:r>
            <a:br>
              <a:rPr lang="en-US" sz="1200">
                <a:latin typeface="Verdana" panose="020B0604030504040204" pitchFamily="34" charset="0"/>
                <a:ea typeface="Verdana" panose="020B0604030504040204" pitchFamily="34" charset="0"/>
                <a:cs typeface="Verdana" panose="020B0604030504040204" pitchFamily="34" charset="0"/>
              </a:rPr>
            </a:br>
            <a:r>
              <a:rPr lang="en-US" sz="1200">
                <a:latin typeface="Verdana" panose="020B0604030504040204" pitchFamily="34" charset="0"/>
                <a:ea typeface="Verdana" panose="020B0604030504040204" pitchFamily="34" charset="0"/>
                <a:cs typeface="Verdana" panose="020B0604030504040204" pitchFamily="34" charset="0"/>
              </a:rPr>
              <a:t>Percent for Audit</a:t>
            </a:r>
            <a:r>
              <a:rPr lang="en-US" sz="1200" baseline="0">
                <a:latin typeface="Verdana" panose="020B0604030504040204" pitchFamily="34" charset="0"/>
                <a:ea typeface="Verdana" panose="020B0604030504040204" pitchFamily="34" charset="0"/>
                <a:cs typeface="Verdana" panose="020B0604030504040204" pitchFamily="34" charset="0"/>
              </a:rPr>
              <a:t> Services Agencies</a:t>
            </a:r>
            <a:endParaRPr lang="en-US" sz="1200">
              <a:latin typeface="Verdana" panose="020B0604030504040204" pitchFamily="34" charset="0"/>
              <a:ea typeface="Verdana" panose="020B0604030504040204" pitchFamily="34" charset="0"/>
              <a:cs typeface="Verdana" panose="020B0604030504040204" pitchFamily="34" charset="0"/>
            </a:endParaRPr>
          </a:p>
        </c:rich>
      </c:tx>
      <c:layout/>
      <c:overlay val="0"/>
    </c:title>
    <c:autoTitleDeleted val="0"/>
    <c:plotArea>
      <c:layout/>
      <c:barChart>
        <c:barDir val="col"/>
        <c:grouping val="clustered"/>
        <c:varyColors val="0"/>
        <c:ser>
          <c:idx val="0"/>
          <c:order val="0"/>
          <c:tx>
            <c:strRef>
              <c:f>'Audit Services Agencies'!$K$36</c:f>
              <c:strCache>
                <c:ptCount val="1"/>
                <c:pt idx="0">
                  <c:v>Average 3 year audit obligation %</c:v>
                </c:pt>
              </c:strCache>
            </c:strRef>
          </c:tx>
          <c:invertIfNegative val="0"/>
          <c:trendline>
            <c:spPr>
              <a:ln>
                <a:tailEnd type="triangle"/>
              </a:ln>
            </c:spPr>
            <c:trendlineType val="exp"/>
            <c:dispRSqr val="0"/>
            <c:dispEq val="0"/>
          </c:trendline>
          <c:cat>
            <c:numRef>
              <c:f>'Audit Services Agencies'!$L$35:$M$35</c:f>
              <c:numCache>
                <c:formatCode>General</c:formatCode>
                <c:ptCount val="2"/>
                <c:pt idx="0">
                  <c:v>2017</c:v>
                </c:pt>
                <c:pt idx="1">
                  <c:v>2018</c:v>
                </c:pt>
              </c:numCache>
            </c:numRef>
          </c:cat>
          <c:val>
            <c:numRef>
              <c:f>'Audit Services Agencies'!$L$36:$M$36</c:f>
              <c:numCache>
                <c:formatCode>General</c:formatCode>
                <c:ptCount val="2"/>
                <c:pt idx="0">
                  <c:v>0.54333333333333333</c:v>
                </c:pt>
                <c:pt idx="1">
                  <c:v>0.91874999999999996</c:v>
                </c:pt>
              </c:numCache>
            </c:numRef>
          </c:val>
          <c:extLst xmlns:c16r2="http://schemas.microsoft.com/office/drawing/2015/06/chart">
            <c:ext xmlns:c16="http://schemas.microsoft.com/office/drawing/2014/chart" uri="{C3380CC4-5D6E-409C-BE32-E72D297353CC}">
              <c16:uniqueId val="{00000000-3636-4A22-8281-F235A2491FC7}"/>
            </c:ext>
          </c:extLst>
        </c:ser>
        <c:dLbls>
          <c:showLegendKey val="0"/>
          <c:showVal val="0"/>
          <c:showCatName val="0"/>
          <c:showSerName val="0"/>
          <c:showPercent val="0"/>
          <c:showBubbleSize val="0"/>
        </c:dLbls>
        <c:gapWidth val="150"/>
        <c:axId val="42549632"/>
        <c:axId val="42551168"/>
      </c:barChart>
      <c:catAx>
        <c:axId val="42549632"/>
        <c:scaling>
          <c:orientation val="minMax"/>
        </c:scaling>
        <c:delete val="0"/>
        <c:axPos val="b"/>
        <c:numFmt formatCode="General" sourceLinked="1"/>
        <c:majorTickMark val="out"/>
        <c:minorTickMark val="none"/>
        <c:tickLblPos val="nextTo"/>
        <c:crossAx val="42551168"/>
        <c:crosses val="autoZero"/>
        <c:auto val="1"/>
        <c:lblAlgn val="ctr"/>
        <c:lblOffset val="100"/>
        <c:noMultiLvlLbl val="0"/>
      </c:catAx>
      <c:valAx>
        <c:axId val="42551168"/>
        <c:scaling>
          <c:orientation val="minMax"/>
        </c:scaling>
        <c:delete val="0"/>
        <c:axPos val="l"/>
        <c:majorGridlines/>
        <c:numFmt formatCode="0%" sourceLinked="0"/>
        <c:majorTickMark val="out"/>
        <c:minorTickMark val="none"/>
        <c:tickLblPos val="nextTo"/>
        <c:crossAx val="42549632"/>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100"/>
              <a:t>Centralized</a:t>
            </a:r>
            <a:r>
              <a:rPr lang="en-US" sz="1100" baseline="0"/>
              <a:t> Audit Services</a:t>
            </a:r>
          </a:p>
          <a:p>
            <a:pPr>
              <a:defRPr sz="1400"/>
            </a:pPr>
            <a:r>
              <a:rPr lang="en-US" sz="1100"/>
              <a:t>Percednt Audits of Sensitive System Audits</a:t>
            </a:r>
            <a:r>
              <a:rPr lang="en-US" sz="1100" baseline="0"/>
              <a:t> </a:t>
            </a:r>
            <a:r>
              <a:rPr lang="en-US" sz="1100"/>
              <a:t>Completed </a:t>
            </a:r>
          </a:p>
        </c:rich>
      </c:tx>
      <c:layout/>
      <c:overlay val="0"/>
    </c:title>
    <c:autoTitleDeleted val="0"/>
    <c:plotArea>
      <c:layout/>
      <c:lineChart>
        <c:grouping val="standard"/>
        <c:varyColors val="0"/>
        <c:ser>
          <c:idx val="0"/>
          <c:order val="0"/>
          <c:tx>
            <c:strRef>
              <c:f>'Archer Search Report'!$J$268</c:f>
              <c:strCache>
                <c:ptCount val="1"/>
                <c:pt idx="0">
                  <c:v>% Audits of Sensitive System that are Complete</c:v>
                </c:pt>
              </c:strCache>
            </c:strRef>
          </c:tx>
          <c:cat>
            <c:strRef>
              <c:f>'Archer Search Report'!$K$267:$O$267</c:f>
              <c:strCache>
                <c:ptCount val="3"/>
                <c:pt idx="0">
                  <c:v>% Audited in 2016</c:v>
                </c:pt>
                <c:pt idx="1">
                  <c:v>% Audited in 2017</c:v>
                </c:pt>
                <c:pt idx="2">
                  <c:v>% Audited in 2018</c:v>
                </c:pt>
              </c:strCache>
            </c:strRef>
          </c:cat>
          <c:val>
            <c:numRef>
              <c:f>'Archer Search Report'!$K$268:$O$268</c:f>
              <c:numCache>
                <c:formatCode>0%</c:formatCode>
                <c:ptCount val="3"/>
                <c:pt idx="0">
                  <c:v>0.20851063829787234</c:v>
                </c:pt>
                <c:pt idx="1">
                  <c:v>0.35744680851063831</c:v>
                </c:pt>
                <c:pt idx="2">
                  <c:v>0.59148936170212763</c:v>
                </c:pt>
              </c:numCache>
            </c:numRef>
          </c:val>
          <c:smooth val="0"/>
          <c:extLst xmlns:c16r2="http://schemas.microsoft.com/office/drawing/2015/06/chart">
            <c:ext xmlns:c16="http://schemas.microsoft.com/office/drawing/2014/chart" uri="{C3380CC4-5D6E-409C-BE32-E72D297353CC}">
              <c16:uniqueId val="{00000000-EAC9-4DB1-A0A3-6A33DE605464}"/>
            </c:ext>
          </c:extLst>
        </c:ser>
        <c:dLbls>
          <c:showLegendKey val="0"/>
          <c:showVal val="0"/>
          <c:showCatName val="0"/>
          <c:showSerName val="0"/>
          <c:showPercent val="0"/>
          <c:showBubbleSize val="0"/>
        </c:dLbls>
        <c:marker val="1"/>
        <c:smooth val="0"/>
        <c:axId val="42576128"/>
        <c:axId val="42577920"/>
      </c:lineChart>
      <c:catAx>
        <c:axId val="42576128"/>
        <c:scaling>
          <c:orientation val="minMax"/>
        </c:scaling>
        <c:delete val="0"/>
        <c:axPos val="b"/>
        <c:numFmt formatCode="General" sourceLinked="1"/>
        <c:majorTickMark val="out"/>
        <c:minorTickMark val="none"/>
        <c:tickLblPos val="nextTo"/>
        <c:crossAx val="42577920"/>
        <c:crosses val="autoZero"/>
        <c:auto val="1"/>
        <c:lblAlgn val="ctr"/>
        <c:lblOffset val="100"/>
        <c:noMultiLvlLbl val="0"/>
      </c:catAx>
      <c:valAx>
        <c:axId val="42577920"/>
        <c:scaling>
          <c:orientation val="minMax"/>
        </c:scaling>
        <c:delete val="0"/>
        <c:axPos val="l"/>
        <c:majorGridlines/>
        <c:numFmt formatCode="0%" sourceLinked="1"/>
        <c:majorTickMark val="out"/>
        <c:minorTickMark val="none"/>
        <c:tickLblPos val="nextTo"/>
        <c:crossAx val="42576128"/>
        <c:crosses val="autoZero"/>
        <c:crossBetween val="between"/>
      </c:valAx>
    </c:plotArea>
    <c:plotVisOnly val="1"/>
    <c:dispBlanksAs val="gap"/>
    <c:showDLblsOverMax val="0"/>
  </c:chart>
  <c:spPr>
    <a:ln>
      <a:noFill/>
    </a:ln>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100"/>
              <a:t>ISO Services Agencies </a:t>
            </a:r>
          </a:p>
          <a:p>
            <a:pPr>
              <a:defRPr sz="1200"/>
            </a:pPr>
            <a:r>
              <a:rPr lang="en-US" sz="1100"/>
              <a:t>Percent BIA complete</a:t>
            </a:r>
          </a:p>
        </c:rich>
      </c:tx>
      <c:layout>
        <c:manualLayout>
          <c:xMode val="edge"/>
          <c:yMode val="edge"/>
          <c:x val="0.30441918742057694"/>
          <c:y val="3.9072054097873954E-2"/>
        </c:manualLayout>
      </c:layout>
      <c:overlay val="0"/>
    </c:title>
    <c:autoTitleDeleted val="0"/>
    <c:plotArea>
      <c:layout/>
      <c:barChart>
        <c:barDir val="col"/>
        <c:grouping val="clustered"/>
        <c:varyColors val="0"/>
        <c:ser>
          <c:idx val="0"/>
          <c:order val="0"/>
          <c:tx>
            <c:strRef>
              <c:f>'ISO BIAs'!$D$37</c:f>
              <c:strCache>
                <c:ptCount val="1"/>
                <c:pt idx="0">
                  <c:v>ISO Services Agencies % BIA complete</c:v>
                </c:pt>
              </c:strCache>
            </c:strRef>
          </c:tx>
          <c:invertIfNegative val="0"/>
          <c:cat>
            <c:numRef>
              <c:f>'ISO BIAs'!$E$36:$F$36</c:f>
              <c:numCache>
                <c:formatCode>General</c:formatCode>
                <c:ptCount val="2"/>
                <c:pt idx="0">
                  <c:v>2017</c:v>
                </c:pt>
                <c:pt idx="1">
                  <c:v>2018</c:v>
                </c:pt>
              </c:numCache>
            </c:numRef>
          </c:cat>
          <c:val>
            <c:numRef>
              <c:f>'ISO BIAs'!$E$37:$F$37</c:f>
              <c:numCache>
                <c:formatCode>0%</c:formatCode>
                <c:ptCount val="2"/>
                <c:pt idx="0">
                  <c:v>0.75</c:v>
                </c:pt>
                <c:pt idx="1">
                  <c:v>0.96875</c:v>
                </c:pt>
              </c:numCache>
            </c:numRef>
          </c:val>
          <c:extLst xmlns:c16r2="http://schemas.microsoft.com/office/drawing/2015/06/chart">
            <c:ext xmlns:c16="http://schemas.microsoft.com/office/drawing/2014/chart" uri="{C3380CC4-5D6E-409C-BE32-E72D297353CC}">
              <c16:uniqueId val="{00000000-F14A-43FF-9924-C48A9A28328E}"/>
            </c:ext>
          </c:extLst>
        </c:ser>
        <c:dLbls>
          <c:showLegendKey val="0"/>
          <c:showVal val="0"/>
          <c:showCatName val="0"/>
          <c:showSerName val="0"/>
          <c:showPercent val="0"/>
          <c:showBubbleSize val="0"/>
        </c:dLbls>
        <c:gapWidth val="150"/>
        <c:axId val="42610688"/>
        <c:axId val="42612224"/>
      </c:barChart>
      <c:catAx>
        <c:axId val="42610688"/>
        <c:scaling>
          <c:orientation val="minMax"/>
        </c:scaling>
        <c:delete val="0"/>
        <c:axPos val="b"/>
        <c:numFmt formatCode="General" sourceLinked="1"/>
        <c:majorTickMark val="none"/>
        <c:minorTickMark val="none"/>
        <c:tickLblPos val="nextTo"/>
        <c:crossAx val="42612224"/>
        <c:crosses val="autoZero"/>
        <c:auto val="1"/>
        <c:lblAlgn val="ctr"/>
        <c:lblOffset val="100"/>
        <c:noMultiLvlLbl val="0"/>
      </c:catAx>
      <c:valAx>
        <c:axId val="42612224"/>
        <c:scaling>
          <c:orientation val="minMax"/>
          <c:max val="1"/>
        </c:scaling>
        <c:delete val="0"/>
        <c:axPos val="l"/>
        <c:majorGridlines/>
        <c:numFmt formatCode="0%" sourceLinked="1"/>
        <c:majorTickMark val="none"/>
        <c:minorTickMark val="none"/>
        <c:tickLblPos val="nextTo"/>
        <c:crossAx val="42610688"/>
        <c:crosses val="autoZero"/>
        <c:crossBetween val="between"/>
      </c:valAx>
    </c:plotArea>
    <c:plotVisOnly val="1"/>
    <c:dispBlanksAs val="gap"/>
    <c:showDLblsOverMax val="0"/>
  </c:chart>
  <c:spPr>
    <a:ln>
      <a:noFill/>
    </a:ln>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r>
              <a:rPr lang="en-US" sz="1100" b="1" i="0" baseline="0">
                <a:effectLst/>
              </a:rPr>
              <a:t>ISO Services Customer  Agencies </a:t>
            </a:r>
            <a:endParaRPr lang="en-US"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defRPr>
            </a:pPr>
            <a:r>
              <a:rPr lang="en-US" sz="1100"/>
              <a:t>Percent of Completed Risk Assesments </a:t>
            </a:r>
          </a:p>
        </c:rich>
      </c:tx>
      <c:layout/>
      <c:overlay val="0"/>
    </c:title>
    <c:autoTitleDeleted val="0"/>
    <c:plotArea>
      <c:layout/>
      <c:lineChart>
        <c:grouping val="standard"/>
        <c:varyColors val="0"/>
        <c:ser>
          <c:idx val="0"/>
          <c:order val="0"/>
          <c:tx>
            <c:strRef>
              <c:f>Sheet2!$A$4</c:f>
              <c:strCache>
                <c:ptCount val="1"/>
                <c:pt idx="0">
                  <c:v>% of Completed Risk Assesments for  ISO Services Customer  Agencies </c:v>
                </c:pt>
              </c:strCache>
            </c:strRef>
          </c:tx>
          <c:marker>
            <c:symbol val="none"/>
          </c:marker>
          <c:cat>
            <c:numRef>
              <c:f>Sheet2!$B$3:$F$3</c:f>
              <c:numCache>
                <c:formatCode>General</c:formatCode>
                <c:ptCount val="3"/>
                <c:pt idx="0">
                  <c:v>2016</c:v>
                </c:pt>
                <c:pt idx="1">
                  <c:v>2017</c:v>
                </c:pt>
                <c:pt idx="2">
                  <c:v>2018</c:v>
                </c:pt>
              </c:numCache>
            </c:numRef>
          </c:cat>
          <c:val>
            <c:numRef>
              <c:f>Sheet2!$B$4:$F$4</c:f>
              <c:numCache>
                <c:formatCode>0%</c:formatCode>
                <c:ptCount val="3"/>
                <c:pt idx="0">
                  <c:v>0.13</c:v>
                </c:pt>
                <c:pt idx="1">
                  <c:v>0.36</c:v>
                </c:pt>
                <c:pt idx="2">
                  <c:v>0.5829596412556054</c:v>
                </c:pt>
              </c:numCache>
            </c:numRef>
          </c:val>
          <c:smooth val="0"/>
          <c:extLst xmlns:c16r2="http://schemas.microsoft.com/office/drawing/2015/06/chart">
            <c:ext xmlns:c16="http://schemas.microsoft.com/office/drawing/2014/chart" uri="{C3380CC4-5D6E-409C-BE32-E72D297353CC}">
              <c16:uniqueId val="{00000000-E0D0-48C3-BC73-2D3D577E76A7}"/>
            </c:ext>
          </c:extLst>
        </c:ser>
        <c:dLbls>
          <c:showLegendKey val="0"/>
          <c:showVal val="0"/>
          <c:showCatName val="0"/>
          <c:showSerName val="0"/>
          <c:showPercent val="0"/>
          <c:showBubbleSize val="0"/>
        </c:dLbls>
        <c:marker val="1"/>
        <c:smooth val="0"/>
        <c:axId val="42640896"/>
        <c:axId val="42642432"/>
      </c:lineChart>
      <c:catAx>
        <c:axId val="42640896"/>
        <c:scaling>
          <c:orientation val="minMax"/>
        </c:scaling>
        <c:delete val="0"/>
        <c:axPos val="b"/>
        <c:numFmt formatCode="General" sourceLinked="1"/>
        <c:majorTickMark val="none"/>
        <c:minorTickMark val="none"/>
        <c:tickLblPos val="nextTo"/>
        <c:crossAx val="42642432"/>
        <c:crosses val="autoZero"/>
        <c:auto val="1"/>
        <c:lblAlgn val="ctr"/>
        <c:lblOffset val="100"/>
        <c:noMultiLvlLbl val="0"/>
      </c:catAx>
      <c:valAx>
        <c:axId val="42642432"/>
        <c:scaling>
          <c:orientation val="minMax"/>
        </c:scaling>
        <c:delete val="0"/>
        <c:axPos val="l"/>
        <c:majorGridlines/>
        <c:numFmt formatCode="0%" sourceLinked="1"/>
        <c:majorTickMark val="none"/>
        <c:minorTickMark val="none"/>
        <c:tickLblPos val="nextTo"/>
        <c:crossAx val="42640896"/>
        <c:crosses val="autoZero"/>
        <c:crossBetween val="between"/>
      </c:valAx>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US" sz="1200" b="1" i="0" u="none" strike="noStrike" baseline="0">
                <a:effectLst/>
                <a:latin typeface="Verdana" panose="020B0604030504040204" pitchFamily="34" charset="0"/>
                <a:ea typeface="Verdana" panose="020B0604030504040204" pitchFamily="34" charset="0"/>
                <a:cs typeface="Verdana" panose="020B0604030504040204" pitchFamily="34" charset="0"/>
              </a:rPr>
              <a:t>ISO Services Agencies</a:t>
            </a:r>
          </a:p>
          <a:p>
            <a:pPr>
              <a:defRPr sz="1400" b="0" i="0" u="none" strike="noStrike" baseline="0">
                <a:solidFill>
                  <a:srgbClr val="333333"/>
                </a:solidFill>
                <a:latin typeface="Calibri"/>
                <a:ea typeface="Calibri"/>
                <a:cs typeface="Calibri"/>
              </a:defRPr>
            </a:pPr>
            <a:r>
              <a:rPr lang="en-US" sz="1200" b="1">
                <a:latin typeface="Verdana" panose="020B0604030504040204" pitchFamily="34" charset="0"/>
                <a:ea typeface="Verdana" panose="020B0604030504040204" pitchFamily="34" charset="0"/>
                <a:cs typeface="Verdana" panose="020B0604030504040204" pitchFamily="34" charset="0"/>
              </a:rPr>
              <a:t>Percent of Risk Assessments Performed</a:t>
            </a:r>
          </a:p>
        </c:rich>
      </c:tx>
      <c:layout/>
      <c:overlay val="0"/>
      <c:spPr>
        <a:noFill/>
        <a:ln w="25400">
          <a:noFill/>
        </a:ln>
      </c:spPr>
    </c:title>
    <c:autoTitleDeleted val="0"/>
    <c:plotArea>
      <c:layout>
        <c:manualLayout>
          <c:layoutTarget val="inner"/>
          <c:xMode val="edge"/>
          <c:yMode val="edge"/>
          <c:x val="4.3379186722180899E-2"/>
          <c:y val="0.20548611111111112"/>
          <c:w val="0.93345758490286435"/>
          <c:h val="0.7313254593175853"/>
        </c:manualLayout>
      </c:layout>
      <c:lineChart>
        <c:grouping val="standard"/>
        <c:varyColors val="0"/>
        <c:ser>
          <c:idx val="0"/>
          <c:order val="0"/>
          <c:tx>
            <c:strRef>
              <c:f>'sensitive systems only'!$A$44</c:f>
              <c:strCache>
                <c:ptCount val="1"/>
                <c:pt idx="0">
                  <c:v>% of All Centralized ISO Agencies' Sensitive Systems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'sensitive systems only'!$L$43:$O$43</c:f>
              <c:strCache>
                <c:ptCount val="3"/>
                <c:pt idx="0">
                  <c:v>% Risk Assessments Performed in 2016</c:v>
                </c:pt>
                <c:pt idx="1">
                  <c:v>% Risk Assessments Performed in 2017</c:v>
                </c:pt>
                <c:pt idx="2">
                  <c:v>% Risk Assessments Projected for 2018</c:v>
                </c:pt>
              </c:strCache>
            </c:strRef>
          </c:cat>
          <c:val>
            <c:numRef>
              <c:f>'sensitive systems only'!$L$44:$O$44</c:f>
              <c:numCache>
                <c:formatCode>0%</c:formatCode>
                <c:ptCount val="3"/>
                <c:pt idx="0">
                  <c:v>0.13</c:v>
                </c:pt>
                <c:pt idx="1">
                  <c:v>0.36</c:v>
                </c:pt>
                <c:pt idx="2">
                  <c:v>0.87</c:v>
                </c:pt>
              </c:numCache>
            </c:numRef>
          </c:val>
          <c:smooth val="0"/>
          <c:extLst xmlns:c16r2="http://schemas.microsoft.com/office/drawing/2015/06/chart">
            <c:ext xmlns:c16="http://schemas.microsoft.com/office/drawing/2014/chart" uri="{C3380CC4-5D6E-409C-BE32-E72D297353CC}">
              <c16:uniqueId val="{00000000-3C61-4858-B5CC-1FB8C6AAC637}"/>
            </c:ext>
          </c:extLst>
        </c:ser>
        <c:dLbls>
          <c:showLegendKey val="0"/>
          <c:showVal val="0"/>
          <c:showCatName val="0"/>
          <c:showSerName val="0"/>
          <c:showPercent val="0"/>
          <c:showBubbleSize val="0"/>
        </c:dLbls>
        <c:marker val="1"/>
        <c:smooth val="0"/>
        <c:axId val="42653952"/>
        <c:axId val="42430848"/>
      </c:lineChart>
      <c:catAx>
        <c:axId val="4265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800" b="0" i="0" u="none" strike="noStrike" baseline="0">
                <a:solidFill>
                  <a:srgbClr val="333333"/>
                </a:solidFill>
                <a:latin typeface="Calibri"/>
                <a:ea typeface="Calibri"/>
                <a:cs typeface="Calibri"/>
              </a:defRPr>
            </a:pPr>
            <a:endParaRPr lang="en-US"/>
          </a:p>
        </c:txPr>
        <c:crossAx val="42430848"/>
        <c:crosses val="autoZero"/>
        <c:auto val="1"/>
        <c:lblAlgn val="ctr"/>
        <c:lblOffset val="100"/>
        <c:noMultiLvlLbl val="0"/>
      </c:catAx>
      <c:valAx>
        <c:axId val="424308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42653952"/>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COV Audit Compliance Grades </a:t>
            </a:r>
          </a:p>
          <a:p>
            <a:pPr>
              <a:defRPr sz="1200"/>
            </a:pPr>
            <a:r>
              <a:rPr lang="en-US" sz="1200"/>
              <a:t>2016-2018</a:t>
            </a:r>
          </a:p>
        </c:rich>
      </c:tx>
      <c:layout/>
      <c:overlay val="0"/>
    </c:title>
    <c:autoTitleDeleted val="0"/>
    <c:plotArea>
      <c:layout/>
      <c:lineChart>
        <c:grouping val="standard"/>
        <c:varyColors val="0"/>
        <c:ser>
          <c:idx val="1"/>
          <c:order val="0"/>
          <c:tx>
            <c:strRef>
              <c:f>Grades!$T$13</c:f>
              <c:strCache>
                <c:ptCount val="1"/>
                <c:pt idx="0">
                  <c:v>2016</c:v>
                </c:pt>
              </c:strCache>
            </c:strRef>
          </c:tx>
          <c:cat>
            <c:strRef>
              <c:f>Grades!$U$17:$Y$17</c:f>
              <c:strCache>
                <c:ptCount val="5"/>
                <c:pt idx="0">
                  <c:v>A</c:v>
                </c:pt>
                <c:pt idx="1">
                  <c:v>B</c:v>
                </c:pt>
                <c:pt idx="2">
                  <c:v>C</c:v>
                </c:pt>
                <c:pt idx="3">
                  <c:v>D</c:v>
                </c:pt>
                <c:pt idx="4">
                  <c:v>F</c:v>
                </c:pt>
              </c:strCache>
            </c:strRef>
          </c:cat>
          <c:val>
            <c:numRef>
              <c:f>Grades!$U$13:$Y$13</c:f>
              <c:numCache>
                <c:formatCode>0%</c:formatCode>
                <c:ptCount val="5"/>
                <c:pt idx="0">
                  <c:v>0.29870129870129869</c:v>
                </c:pt>
                <c:pt idx="1">
                  <c:v>1.2987012987012988E-2</c:v>
                </c:pt>
                <c:pt idx="2">
                  <c:v>0.1038961038961039</c:v>
                </c:pt>
                <c:pt idx="3">
                  <c:v>0.33766233766233766</c:v>
                </c:pt>
                <c:pt idx="4">
                  <c:v>0.24675324675324675</c:v>
                </c:pt>
              </c:numCache>
            </c:numRef>
          </c:val>
          <c:smooth val="0"/>
          <c:extLst xmlns:c16r2="http://schemas.microsoft.com/office/drawing/2015/06/chart">
            <c:ext xmlns:c16="http://schemas.microsoft.com/office/drawing/2014/chart" uri="{C3380CC4-5D6E-409C-BE32-E72D297353CC}">
              <c16:uniqueId val="{00000001-5D44-4871-BE56-EE25FF51D617}"/>
            </c:ext>
          </c:extLst>
        </c:ser>
        <c:ser>
          <c:idx val="2"/>
          <c:order val="1"/>
          <c:tx>
            <c:strRef>
              <c:f>Grades!$T$14</c:f>
              <c:strCache>
                <c:ptCount val="1"/>
                <c:pt idx="0">
                  <c:v>2017</c:v>
                </c:pt>
              </c:strCache>
            </c:strRef>
          </c:tx>
          <c:cat>
            <c:strRef>
              <c:f>Grades!$U$17:$Y$17</c:f>
              <c:strCache>
                <c:ptCount val="5"/>
                <c:pt idx="0">
                  <c:v>A</c:v>
                </c:pt>
                <c:pt idx="1">
                  <c:v>B</c:v>
                </c:pt>
                <c:pt idx="2">
                  <c:v>C</c:v>
                </c:pt>
                <c:pt idx="3">
                  <c:v>D</c:v>
                </c:pt>
                <c:pt idx="4">
                  <c:v>F</c:v>
                </c:pt>
              </c:strCache>
            </c:strRef>
          </c:cat>
          <c:val>
            <c:numRef>
              <c:f>Grades!$U$14:$Y$14</c:f>
              <c:numCache>
                <c:formatCode>0%</c:formatCode>
                <c:ptCount val="5"/>
                <c:pt idx="0">
                  <c:v>0.33</c:v>
                </c:pt>
                <c:pt idx="1">
                  <c:v>0.13</c:v>
                </c:pt>
                <c:pt idx="2">
                  <c:v>0.1</c:v>
                </c:pt>
                <c:pt idx="3">
                  <c:v>0.27</c:v>
                </c:pt>
                <c:pt idx="4">
                  <c:v>0.17</c:v>
                </c:pt>
              </c:numCache>
            </c:numRef>
          </c:val>
          <c:smooth val="0"/>
          <c:extLst xmlns:c16r2="http://schemas.microsoft.com/office/drawing/2015/06/chart">
            <c:ext xmlns:c16="http://schemas.microsoft.com/office/drawing/2014/chart" uri="{C3380CC4-5D6E-409C-BE32-E72D297353CC}">
              <c16:uniqueId val="{00000000-152F-4570-81AD-8DA24A566300}"/>
            </c:ext>
          </c:extLst>
        </c:ser>
        <c:ser>
          <c:idx val="3"/>
          <c:order val="2"/>
          <c:tx>
            <c:strRef>
              <c:f>Grades!$T$15</c:f>
              <c:strCache>
                <c:ptCount val="1"/>
                <c:pt idx="0">
                  <c:v>2018</c:v>
                </c:pt>
              </c:strCache>
            </c:strRef>
          </c:tx>
          <c:cat>
            <c:strRef>
              <c:f>Grades!$U$17:$Y$17</c:f>
              <c:strCache>
                <c:ptCount val="5"/>
                <c:pt idx="0">
                  <c:v>A</c:v>
                </c:pt>
                <c:pt idx="1">
                  <c:v>B</c:v>
                </c:pt>
                <c:pt idx="2">
                  <c:v>C</c:v>
                </c:pt>
                <c:pt idx="3">
                  <c:v>D</c:v>
                </c:pt>
                <c:pt idx="4">
                  <c:v>F</c:v>
                </c:pt>
              </c:strCache>
            </c:strRef>
          </c:cat>
          <c:val>
            <c:numRef>
              <c:f>Grades!$U$15:$Y$15</c:f>
              <c:numCache>
                <c:formatCode>0%</c:formatCode>
                <c:ptCount val="5"/>
                <c:pt idx="0">
                  <c:v>0.44</c:v>
                </c:pt>
                <c:pt idx="1">
                  <c:v>0.1</c:v>
                </c:pt>
                <c:pt idx="2">
                  <c:v>0.06</c:v>
                </c:pt>
                <c:pt idx="3">
                  <c:v>0.21</c:v>
                </c:pt>
                <c:pt idx="4">
                  <c:v>0.19</c:v>
                </c:pt>
              </c:numCache>
            </c:numRef>
          </c:val>
          <c:smooth val="0"/>
          <c:extLst xmlns:c16r2="http://schemas.microsoft.com/office/drawing/2015/06/chart">
            <c:ext xmlns:c16="http://schemas.microsoft.com/office/drawing/2014/chart" uri="{C3380CC4-5D6E-409C-BE32-E72D297353CC}">
              <c16:uniqueId val="{00000001-152F-4570-81AD-8DA24A566300}"/>
            </c:ext>
          </c:extLst>
        </c:ser>
        <c:dLbls>
          <c:showLegendKey val="0"/>
          <c:showVal val="0"/>
          <c:showCatName val="0"/>
          <c:showSerName val="0"/>
          <c:showPercent val="0"/>
          <c:showBubbleSize val="0"/>
        </c:dLbls>
        <c:marker val="1"/>
        <c:smooth val="0"/>
        <c:axId val="42450304"/>
        <c:axId val="42456192"/>
      </c:lineChart>
      <c:catAx>
        <c:axId val="42450304"/>
        <c:scaling>
          <c:orientation val="minMax"/>
        </c:scaling>
        <c:delete val="0"/>
        <c:axPos val="b"/>
        <c:numFmt formatCode="General" sourceLinked="0"/>
        <c:majorTickMark val="none"/>
        <c:minorTickMark val="none"/>
        <c:tickLblPos val="nextTo"/>
        <c:crossAx val="42456192"/>
        <c:crosses val="autoZero"/>
        <c:auto val="1"/>
        <c:lblAlgn val="ctr"/>
        <c:lblOffset val="100"/>
        <c:noMultiLvlLbl val="0"/>
      </c:catAx>
      <c:valAx>
        <c:axId val="42456192"/>
        <c:scaling>
          <c:orientation val="minMax"/>
        </c:scaling>
        <c:delete val="0"/>
        <c:axPos val="l"/>
        <c:majorGridlines/>
        <c:numFmt formatCode="0%" sourceLinked="1"/>
        <c:majorTickMark val="none"/>
        <c:minorTickMark val="none"/>
        <c:tickLblPos val="nextTo"/>
        <c:spPr>
          <a:ln w="6350">
            <a:noFill/>
          </a:ln>
        </c:spPr>
        <c:crossAx val="42450304"/>
        <c:crosses val="autoZero"/>
        <c:crossBetween val="between"/>
      </c:valAx>
      <c:spPr>
        <a:ln>
          <a:noFill/>
        </a:ln>
      </c:spPr>
    </c:plotArea>
    <c:legend>
      <c:legendPos val="b"/>
      <c:layout/>
      <c:overlay val="0"/>
    </c:legend>
    <c:plotVisOnly val="1"/>
    <c:dispBlanksAs val="gap"/>
    <c:showDLblsOverMax val="0"/>
  </c:chart>
  <c:spPr>
    <a:ln>
      <a:noFill/>
    </a:ln>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Audit Program Compliance</a:t>
            </a:r>
          </a:p>
        </c:rich>
      </c:tx>
      <c:layout/>
      <c:overlay val="0"/>
    </c:title>
    <c:autoTitleDeleted val="0"/>
    <c:plotArea>
      <c:layout/>
      <c:pieChart>
        <c:varyColors val="1"/>
        <c:ser>
          <c:idx val="0"/>
          <c:order val="0"/>
          <c:dPt>
            <c:idx val="0"/>
            <c:bubble3D val="0"/>
            <c:spPr>
              <a:solidFill>
                <a:srgbClr val="00B050"/>
              </a:solidFill>
            </c:spPr>
            <c:extLst xmlns:c16r2="http://schemas.microsoft.com/office/drawing/2015/06/chart">
              <c:ext xmlns:c16="http://schemas.microsoft.com/office/drawing/2014/chart" uri="{C3380CC4-5D6E-409C-BE32-E72D297353CC}">
                <c16:uniqueId val="{00000000-603A-4A59-B98D-F4831DB1576B}"/>
              </c:ext>
            </c:extLst>
          </c:dPt>
          <c:dPt>
            <c:idx val="1"/>
            <c:bubble3D val="0"/>
            <c:spPr>
              <a:solidFill>
                <a:srgbClr val="FFFF00"/>
              </a:solidFill>
            </c:spPr>
            <c:extLst xmlns:c16r2="http://schemas.microsoft.com/office/drawing/2015/06/chart">
              <c:ext xmlns:c16="http://schemas.microsoft.com/office/drawing/2014/chart" uri="{C3380CC4-5D6E-409C-BE32-E72D297353CC}">
                <c16:uniqueId val="{0000000C-603A-4A59-B98D-F4831DB1576B}"/>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7-603A-4A59-B98D-F4831DB1576B}"/>
              </c:ext>
            </c:extLst>
          </c:dPt>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'Archer Search Report'!$F$116:$F$118</c:f>
              <c:strCache>
                <c:ptCount val="3"/>
                <c:pt idx="0">
                  <c:v>Complete</c:v>
                </c:pt>
                <c:pt idx="1">
                  <c:v>Partially Complete</c:v>
                </c:pt>
                <c:pt idx="2">
                  <c:v>Inadequate</c:v>
                </c:pt>
              </c:strCache>
            </c:strRef>
          </c:cat>
          <c:val>
            <c:numRef>
              <c:f>'Archer Search Report'!$G$116:$G$118</c:f>
              <c:numCache>
                <c:formatCode>General</c:formatCode>
                <c:ptCount val="3"/>
                <c:pt idx="0">
                  <c:v>34</c:v>
                </c:pt>
                <c:pt idx="1">
                  <c:v>29</c:v>
                </c:pt>
                <c:pt idx="2">
                  <c:v>15</c:v>
                </c:pt>
              </c:numCache>
            </c:numRef>
          </c:val>
          <c:extLst xmlns:c16r2="http://schemas.microsoft.com/office/drawing/2015/06/chart">
            <c:ext xmlns:c16="http://schemas.microsoft.com/office/drawing/2014/chart" uri="{C3380CC4-5D6E-409C-BE32-E72D297353CC}">
              <c16:uniqueId val="{00000000-740E-4869-B3BC-3AF35A868DFA}"/>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Audit program compliance</a:t>
            </a:r>
          </a:p>
        </c:rich>
      </c:tx>
      <c:layout/>
      <c:overlay val="0"/>
    </c:title>
    <c:autoTitleDeleted val="0"/>
    <c:plotArea>
      <c:layout/>
      <c:pieChart>
        <c:varyColors val="1"/>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Verdana" panose="020B0604030504040204" pitchFamily="34" charset="0"/>
                <a:ea typeface="Verdana" panose="020B0604030504040204" pitchFamily="34" charset="0"/>
                <a:cs typeface="Verdana" panose="020B0604030504040204" pitchFamily="34" charset="0"/>
              </a:rPr>
              <a:t>Audit Plan Status</a:t>
            </a:r>
          </a:p>
        </c:rich>
      </c:tx>
      <c:layout/>
      <c:overlay val="0"/>
    </c:title>
    <c:autoTitleDeleted val="0"/>
    <c:plotArea>
      <c:layout/>
      <c:pieChart>
        <c:varyColors val="1"/>
        <c:ser>
          <c:idx val="0"/>
          <c:order val="0"/>
          <c:spPr>
            <a:solidFill>
              <a:srgbClr val="FF0000"/>
            </a:solidFill>
          </c:spPr>
          <c:dPt>
            <c:idx val="1"/>
            <c:bubble3D val="0"/>
            <c:spPr>
              <a:solidFill>
                <a:srgbClr val="00B050"/>
              </a:solidFill>
            </c:spPr>
            <c:extLst xmlns:c16r2="http://schemas.microsoft.com/office/drawing/2015/06/chart">
              <c:ext xmlns:c16="http://schemas.microsoft.com/office/drawing/2014/chart" uri="{C3380CC4-5D6E-409C-BE32-E72D297353CC}">
                <c16:uniqueId val="{00000001-D97A-4A25-BDBF-0D5D6EBFF8F5}"/>
              </c:ext>
            </c:extLst>
          </c:dPt>
          <c:dLbls>
            <c:spPr>
              <a:noFill/>
              <a:ln>
                <a:noFill/>
              </a:ln>
              <a:effectLst/>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'Archer Search Report'!$C$81:$C$83</c:f>
              <c:strCache>
                <c:ptCount val="3"/>
                <c:pt idx="0">
                  <c:v>Audit Plan Status</c:v>
                </c:pt>
                <c:pt idx="1">
                  <c:v>Pass</c:v>
                </c:pt>
                <c:pt idx="2">
                  <c:v>Incomplete</c:v>
                </c:pt>
              </c:strCache>
            </c:strRef>
          </c:cat>
          <c:val>
            <c:numRef>
              <c:f>'Archer Search Report'!$D$81:$D$83</c:f>
              <c:numCache>
                <c:formatCode>General</c:formatCode>
                <c:ptCount val="3"/>
                <c:pt idx="1">
                  <c:v>70</c:v>
                </c:pt>
                <c:pt idx="2">
                  <c:v>8</c:v>
                </c:pt>
              </c:numCache>
            </c:numRef>
          </c:val>
          <c:extLst xmlns:c16r2="http://schemas.microsoft.com/office/drawing/2015/06/chart">
            <c:ext xmlns:c16="http://schemas.microsoft.com/office/drawing/2014/chart" uri="{C3380CC4-5D6E-409C-BE32-E72D297353CC}">
              <c16:uniqueId val="{00000002-D97A-4A25-BDBF-0D5D6EBFF8F5}"/>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Three-Year Audit Obligation</a:t>
            </a:r>
          </a:p>
        </c:rich>
      </c:tx>
      <c:layout/>
      <c:overlay val="0"/>
    </c:title>
    <c:autoTitleDeleted val="0"/>
    <c:plotArea>
      <c:layout/>
      <c:pieChart>
        <c:varyColors val="1"/>
        <c:ser>
          <c:idx val="0"/>
          <c:order val="0"/>
          <c:dPt>
            <c:idx val="0"/>
            <c:bubble3D val="0"/>
            <c:spPr>
              <a:solidFill>
                <a:srgbClr val="00B050"/>
              </a:solidFill>
            </c:spPr>
            <c:extLst xmlns:c16r2="http://schemas.microsoft.com/office/drawing/2015/06/chart">
              <c:ext xmlns:c16="http://schemas.microsoft.com/office/drawing/2014/chart" uri="{C3380CC4-5D6E-409C-BE32-E72D297353CC}">
                <c16:uniqueId val="{00000000-A824-46AF-BD48-C5C7EE5E5E52}"/>
              </c:ext>
            </c:extLst>
          </c:dPt>
          <c:dPt>
            <c:idx val="1"/>
            <c:bubble3D val="0"/>
            <c:spPr>
              <a:solidFill>
                <a:srgbClr val="FFFF00"/>
              </a:solidFill>
            </c:spPr>
            <c:extLst xmlns:c16r2="http://schemas.microsoft.com/office/drawing/2015/06/chart">
              <c:ext xmlns:c16="http://schemas.microsoft.com/office/drawing/2014/chart" uri="{C3380CC4-5D6E-409C-BE32-E72D297353CC}">
                <c16:uniqueId val="{00000005-A824-46AF-BD48-C5C7EE5E5E52}"/>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C-A824-46AF-BD48-C5C7EE5E5E52}"/>
              </c:ext>
            </c:extLst>
          </c:dPt>
          <c:dLbls>
            <c:dLbl>
              <c:idx val="2"/>
              <c:layout>
                <c:manualLayout>
                  <c:x val="5.1986820009019052E-2"/>
                  <c:y val="4.5849419332298379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A824-46AF-BD48-C5C7EE5E5E52}"/>
                </c:ext>
              </c:extLst>
            </c:dLbl>
            <c:spPr>
              <a:noFill/>
              <a:ln>
                <a:noFill/>
              </a:ln>
              <a:effectLst/>
            </c:spPr>
            <c:txPr>
              <a:bodyPr/>
              <a:lstStyle/>
              <a:p>
                <a:pPr>
                  <a:defRPr sz="900"/>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'Archer Search Report'!$K$99:$K$101</c:f>
              <c:strCache>
                <c:ptCount val="3"/>
                <c:pt idx="0">
                  <c:v>Complete</c:v>
                </c:pt>
                <c:pt idx="1">
                  <c:v>Partially Complete</c:v>
                </c:pt>
                <c:pt idx="2">
                  <c:v>Incomplete</c:v>
                </c:pt>
              </c:strCache>
            </c:strRef>
          </c:cat>
          <c:val>
            <c:numRef>
              <c:f>'Archer Search Report'!$L$99:$L$101</c:f>
              <c:numCache>
                <c:formatCode>0</c:formatCode>
                <c:ptCount val="3"/>
                <c:pt idx="0">
                  <c:v>28</c:v>
                </c:pt>
                <c:pt idx="1">
                  <c:v>26</c:v>
                </c:pt>
                <c:pt idx="2">
                  <c:v>24</c:v>
                </c:pt>
              </c:numCache>
            </c:numRef>
          </c:val>
          <c:extLst xmlns:c16r2="http://schemas.microsoft.com/office/drawing/2015/06/chart">
            <c:ext xmlns:c16="http://schemas.microsoft.com/office/drawing/2014/chart" uri="{C3380CC4-5D6E-409C-BE32-E72D297353CC}">
              <c16:uniqueId val="{00000000-C680-4919-B772-68C40E94CEE5}"/>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123406034422684E-2"/>
          <c:y val="0.16276396654349409"/>
          <c:w val="0.90087655927168908"/>
          <c:h val="0.53815481111966013"/>
        </c:manualLayout>
      </c:layout>
      <c:barChart>
        <c:barDir val="col"/>
        <c:grouping val="clustered"/>
        <c:varyColors val="0"/>
        <c:ser>
          <c:idx val="0"/>
          <c:order val="0"/>
          <c:tx>
            <c:strRef>
              <c:f>Sheet1!$B$1</c:f>
              <c:strCache>
                <c:ptCount val="1"/>
                <c:pt idx="0">
                  <c:v>2017</c:v>
                </c:pt>
              </c:strCache>
            </c:strRef>
          </c:tx>
          <c:spPr>
            <a:solidFill>
              <a:srgbClr val="0070C0"/>
            </a:solidFill>
          </c:spPr>
          <c:invertIfNegative val="0"/>
          <c:cat>
            <c:strRef>
              <c:f>Sheet1!$A$2:$A$4</c:f>
              <c:strCache>
                <c:ptCount val="3"/>
                <c:pt idx="0">
                  <c:v>Messages Opened</c:v>
                </c:pt>
                <c:pt idx="1">
                  <c:v>Links clicked</c:v>
                </c:pt>
                <c:pt idx="2">
                  <c:v>Data Submtted</c:v>
                </c:pt>
              </c:strCache>
            </c:strRef>
          </c:cat>
          <c:val>
            <c:numRef>
              <c:f>Sheet1!$B$2:$B$4</c:f>
              <c:numCache>
                <c:formatCode>0.00%</c:formatCode>
                <c:ptCount val="3"/>
                <c:pt idx="0">
                  <c:v>0.19923815833057304</c:v>
                </c:pt>
                <c:pt idx="1">
                  <c:v>6.724080821464061E-2</c:v>
                </c:pt>
                <c:pt idx="2">
                  <c:v>3.5607817157999336E-2</c:v>
                </c:pt>
              </c:numCache>
            </c:numRef>
          </c:val>
          <c:extLst xmlns:c16r2="http://schemas.microsoft.com/office/drawing/2015/06/chart">
            <c:ext xmlns:c16="http://schemas.microsoft.com/office/drawing/2014/chart" uri="{C3380CC4-5D6E-409C-BE32-E72D297353CC}">
              <c16:uniqueId val="{00000000-F559-4AB5-9949-A9663631B58D}"/>
            </c:ext>
          </c:extLst>
        </c:ser>
        <c:ser>
          <c:idx val="1"/>
          <c:order val="1"/>
          <c:tx>
            <c:strRef>
              <c:f>Sheet1!$C$1</c:f>
              <c:strCache>
                <c:ptCount val="1"/>
                <c:pt idx="0">
                  <c:v>2018</c:v>
                </c:pt>
              </c:strCache>
            </c:strRef>
          </c:tx>
          <c:spPr>
            <a:solidFill>
              <a:srgbClr val="C00000"/>
            </a:solidFill>
          </c:spPr>
          <c:invertIfNegative val="0"/>
          <c:cat>
            <c:strRef>
              <c:f>Sheet1!$A$2:$A$4</c:f>
              <c:strCache>
                <c:ptCount val="3"/>
                <c:pt idx="0">
                  <c:v>Messages Opened</c:v>
                </c:pt>
                <c:pt idx="1">
                  <c:v>Links clicked</c:v>
                </c:pt>
                <c:pt idx="2">
                  <c:v>Data Submtted</c:v>
                </c:pt>
              </c:strCache>
            </c:strRef>
          </c:cat>
          <c:val>
            <c:numRef>
              <c:f>Sheet1!$C$2:$C$4</c:f>
              <c:numCache>
                <c:formatCode>0.00%</c:formatCode>
                <c:ptCount val="3"/>
                <c:pt idx="0">
                  <c:v>0.72589792060491498</c:v>
                </c:pt>
                <c:pt idx="1">
                  <c:v>7.7504725897920609E-2</c:v>
                </c:pt>
                <c:pt idx="2">
                  <c:v>1.890359168241966E-2</c:v>
                </c:pt>
              </c:numCache>
            </c:numRef>
          </c:val>
          <c:extLst xmlns:c16r2="http://schemas.microsoft.com/office/drawing/2015/06/chart">
            <c:ext xmlns:c16="http://schemas.microsoft.com/office/drawing/2014/chart" uri="{C3380CC4-5D6E-409C-BE32-E72D297353CC}">
              <c16:uniqueId val="{00000001-F559-4AB5-9949-A9663631B58D}"/>
            </c:ext>
          </c:extLst>
        </c:ser>
        <c:dLbls>
          <c:showLegendKey val="0"/>
          <c:showVal val="0"/>
          <c:showCatName val="0"/>
          <c:showSerName val="0"/>
          <c:showPercent val="0"/>
          <c:showBubbleSize val="0"/>
        </c:dLbls>
        <c:gapWidth val="150"/>
        <c:axId val="34208768"/>
        <c:axId val="76505856"/>
      </c:barChart>
      <c:catAx>
        <c:axId val="34208768"/>
        <c:scaling>
          <c:orientation val="minMax"/>
        </c:scaling>
        <c:delete val="0"/>
        <c:axPos val="b"/>
        <c:numFmt formatCode="General" sourceLinked="0"/>
        <c:majorTickMark val="out"/>
        <c:minorTickMark val="none"/>
        <c:tickLblPos val="nextTo"/>
        <c:txPr>
          <a:bodyPr/>
          <a:lstStyle/>
          <a:p>
            <a:pPr>
              <a:defRPr sz="1000"/>
            </a:pPr>
            <a:endParaRPr lang="en-US"/>
          </a:p>
        </c:txPr>
        <c:crossAx val="76505856"/>
        <c:crosses val="autoZero"/>
        <c:auto val="1"/>
        <c:lblAlgn val="ctr"/>
        <c:lblOffset val="100"/>
        <c:noMultiLvlLbl val="0"/>
      </c:catAx>
      <c:valAx>
        <c:axId val="76505856"/>
        <c:scaling>
          <c:orientation val="minMax"/>
        </c:scaling>
        <c:delete val="0"/>
        <c:axPos val="l"/>
        <c:numFmt formatCode="0%" sourceLinked="0"/>
        <c:majorTickMark val="out"/>
        <c:minorTickMark val="cross"/>
        <c:tickLblPos val="nextTo"/>
        <c:txPr>
          <a:bodyPr/>
          <a:lstStyle/>
          <a:p>
            <a:pPr>
              <a:defRPr sz="900"/>
            </a:pPr>
            <a:endParaRPr lang="en-US"/>
          </a:p>
        </c:txPr>
        <c:crossAx val="34208768"/>
        <c:crosses val="autoZero"/>
        <c:crossBetween val="between"/>
      </c:valAx>
      <c:spPr>
        <a:ln>
          <a:noFill/>
        </a:ln>
      </c:spPr>
    </c:plotArea>
    <c:legend>
      <c:legendPos val="r"/>
      <c:layout>
        <c:manualLayout>
          <c:xMode val="edge"/>
          <c:yMode val="edge"/>
          <c:x val="0.62043054947382725"/>
          <c:y val="0.8532918419544957"/>
          <c:w val="0.3432902617941988"/>
          <c:h val="5.1916463028328357E-2"/>
        </c:manualLayout>
      </c:layout>
      <c:overlay val="0"/>
      <c:txPr>
        <a:bodyPr/>
        <a:lstStyle/>
        <a:p>
          <a:pPr>
            <a:defRPr sz="800"/>
          </a:pPr>
          <a:endParaRPr lang="en-US"/>
        </a:p>
      </c:txPr>
    </c:legend>
    <c:plotVisOnly val="1"/>
    <c:dispBlanksAs val="gap"/>
    <c:showDLblsOverMax val="0"/>
  </c:chart>
  <c:spPr>
    <a:ln>
      <a:noFill/>
    </a:ln>
  </c:spPr>
  <c:txPr>
    <a:bodyPr/>
    <a:lstStyle/>
    <a:p>
      <a:pPr>
        <a:defRPr sz="1800">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Current Year Percentage of Quarterly Updates Recieved</a:t>
            </a:r>
          </a:p>
          <a:p>
            <a:pPr>
              <a:defRPr sz="1100"/>
            </a:pPr>
            <a:endParaRPr lang="en-US" sz="1100"/>
          </a:p>
        </c:rich>
      </c:tx>
      <c:layout/>
      <c:overlay val="0"/>
    </c:title>
    <c:autoTitleDeleted val="0"/>
    <c:plotArea>
      <c:layout/>
      <c:pieChart>
        <c:varyColors val="1"/>
        <c:ser>
          <c:idx val="0"/>
          <c:order val="0"/>
          <c:dPt>
            <c:idx val="0"/>
            <c:bubble3D val="0"/>
            <c:spPr>
              <a:solidFill>
                <a:srgbClr val="00B050"/>
              </a:solidFill>
            </c:spPr>
            <c:extLst xmlns:c16r2="http://schemas.microsoft.com/office/drawing/2015/06/chart">
              <c:ext xmlns:c16="http://schemas.microsoft.com/office/drawing/2014/chart" uri="{C3380CC4-5D6E-409C-BE32-E72D297353CC}">
                <c16:uniqueId val="{00000001-C4E0-4DE5-BB38-A1257450D208}"/>
              </c:ext>
            </c:extLst>
          </c:dPt>
          <c:dPt>
            <c:idx val="1"/>
            <c:bubble3D val="0"/>
            <c:spPr>
              <a:solidFill>
                <a:srgbClr val="FFFF00"/>
              </a:solidFill>
            </c:spPr>
            <c:extLst xmlns:c16r2="http://schemas.microsoft.com/office/drawing/2015/06/chart">
              <c:ext xmlns:c16="http://schemas.microsoft.com/office/drawing/2014/chart" uri="{C3380CC4-5D6E-409C-BE32-E72D297353CC}">
                <c16:uniqueId val="{00000003-C4E0-4DE5-BB38-A1257450D208}"/>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5-C4E0-4DE5-BB38-A1257450D208}"/>
              </c:ext>
            </c:extLst>
          </c:dPt>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'Archer Search Report'!$K$84:$K$86</c:f>
              <c:strCache>
                <c:ptCount val="3"/>
                <c:pt idx="0">
                  <c:v>Complete</c:v>
                </c:pt>
                <c:pt idx="1">
                  <c:v>Partially Complete</c:v>
                </c:pt>
                <c:pt idx="2">
                  <c:v>Insufficient</c:v>
                </c:pt>
              </c:strCache>
            </c:strRef>
          </c:cat>
          <c:val>
            <c:numRef>
              <c:f>'Archer Search Report'!$L$84:$L$86</c:f>
              <c:numCache>
                <c:formatCode>0</c:formatCode>
                <c:ptCount val="3"/>
                <c:pt idx="0">
                  <c:v>63</c:v>
                </c:pt>
                <c:pt idx="1">
                  <c:v>15</c:v>
                </c:pt>
                <c:pt idx="2">
                  <c:v>7</c:v>
                </c:pt>
              </c:numCache>
            </c:numRef>
          </c:val>
          <c:extLst xmlns:c16r2="http://schemas.microsoft.com/office/drawing/2015/06/chart">
            <c:ext xmlns:c16="http://schemas.microsoft.com/office/drawing/2014/chart" uri="{C3380CC4-5D6E-409C-BE32-E72D297353CC}">
              <c16:uniqueId val="{00000000-50D1-48BF-ABC2-4D1DA06D0C1A}"/>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Verdana" panose="020B0604030504040204" pitchFamily="34" charset="0"/>
                <a:ea typeface="Verdana" panose="020B0604030504040204" pitchFamily="34" charset="0"/>
                <a:cs typeface="Verdana" panose="020B0604030504040204" pitchFamily="34" charset="0"/>
              </a:defRPr>
            </a:pPr>
            <a:r>
              <a:rPr lang="en-US" sz="1200">
                <a:latin typeface="Verdana" panose="020B0604030504040204" pitchFamily="34" charset="0"/>
                <a:ea typeface="Verdana" panose="020B0604030504040204" pitchFamily="34" charset="0"/>
                <a:cs typeface="Verdana" panose="020B0604030504040204" pitchFamily="34" charset="0"/>
              </a:rPr>
              <a:t>COV Risk</a:t>
            </a:r>
            <a:r>
              <a:rPr lang="en-US" sz="1200" baseline="0">
                <a:latin typeface="Verdana" panose="020B0604030504040204" pitchFamily="34" charset="0"/>
                <a:ea typeface="Verdana" panose="020B0604030504040204" pitchFamily="34" charset="0"/>
                <a:cs typeface="Verdana" panose="020B0604030504040204" pitchFamily="34" charset="0"/>
              </a:rPr>
              <a:t> Compliance Grades</a:t>
            </a:r>
          </a:p>
          <a:p>
            <a:pPr>
              <a:defRPr>
                <a:latin typeface="Verdana" panose="020B0604030504040204" pitchFamily="34" charset="0"/>
                <a:ea typeface="Verdana" panose="020B0604030504040204" pitchFamily="34" charset="0"/>
                <a:cs typeface="Verdana" panose="020B0604030504040204" pitchFamily="34" charset="0"/>
              </a:defRPr>
            </a:pPr>
            <a:r>
              <a:rPr lang="en-US" sz="1200">
                <a:latin typeface="Verdana" panose="020B0604030504040204" pitchFamily="34" charset="0"/>
                <a:ea typeface="Verdana" panose="020B0604030504040204" pitchFamily="34" charset="0"/>
                <a:cs typeface="Verdana" panose="020B0604030504040204" pitchFamily="34" charset="0"/>
              </a:rPr>
              <a:t>2016-2018</a:t>
            </a:r>
          </a:p>
        </c:rich>
      </c:tx>
      <c:layout/>
      <c:overlay val="0"/>
    </c:title>
    <c:autoTitleDeleted val="0"/>
    <c:plotArea>
      <c:layout/>
      <c:lineChart>
        <c:grouping val="standard"/>
        <c:varyColors val="0"/>
        <c:ser>
          <c:idx val="0"/>
          <c:order val="0"/>
          <c:tx>
            <c:strRef>
              <c:f>Grades!$T$18</c:f>
              <c:strCache>
                <c:ptCount val="1"/>
                <c:pt idx="0">
                  <c:v>2016</c:v>
                </c:pt>
              </c:strCache>
            </c:strRef>
          </c:tx>
          <c:cat>
            <c:strRef>
              <c:f>Grades!$U$17:$Y$17</c:f>
              <c:strCache>
                <c:ptCount val="5"/>
                <c:pt idx="0">
                  <c:v>A</c:v>
                </c:pt>
                <c:pt idx="1">
                  <c:v>B</c:v>
                </c:pt>
                <c:pt idx="2">
                  <c:v>C</c:v>
                </c:pt>
                <c:pt idx="3">
                  <c:v>D</c:v>
                </c:pt>
                <c:pt idx="4">
                  <c:v>F</c:v>
                </c:pt>
              </c:strCache>
            </c:strRef>
          </c:cat>
          <c:val>
            <c:numRef>
              <c:f>Grades!$U$18:$Y$18</c:f>
              <c:numCache>
                <c:formatCode>0%</c:formatCode>
                <c:ptCount val="5"/>
                <c:pt idx="0">
                  <c:v>0.40259740259740262</c:v>
                </c:pt>
                <c:pt idx="1">
                  <c:v>7.792207792207792E-2</c:v>
                </c:pt>
                <c:pt idx="2">
                  <c:v>0.15584415584415584</c:v>
                </c:pt>
                <c:pt idx="3">
                  <c:v>2.5974025974025976E-2</c:v>
                </c:pt>
                <c:pt idx="4">
                  <c:v>0.33766233766233766</c:v>
                </c:pt>
              </c:numCache>
            </c:numRef>
          </c:val>
          <c:smooth val="0"/>
          <c:extLst xmlns:c16r2="http://schemas.microsoft.com/office/drawing/2015/06/chart">
            <c:ext xmlns:c16="http://schemas.microsoft.com/office/drawing/2014/chart" uri="{C3380CC4-5D6E-409C-BE32-E72D297353CC}">
              <c16:uniqueId val="{00000000-8ADB-4EE3-956C-8422144E37E8}"/>
            </c:ext>
          </c:extLst>
        </c:ser>
        <c:ser>
          <c:idx val="2"/>
          <c:order val="1"/>
          <c:tx>
            <c:strRef>
              <c:f>Grades!$T$19</c:f>
              <c:strCache>
                <c:ptCount val="1"/>
                <c:pt idx="0">
                  <c:v>2017</c:v>
                </c:pt>
              </c:strCache>
            </c:strRef>
          </c:tx>
          <c:cat>
            <c:strRef>
              <c:f>Grades!$U$17:$Y$17</c:f>
              <c:strCache>
                <c:ptCount val="5"/>
                <c:pt idx="0">
                  <c:v>A</c:v>
                </c:pt>
                <c:pt idx="1">
                  <c:v>B</c:v>
                </c:pt>
                <c:pt idx="2">
                  <c:v>C</c:v>
                </c:pt>
                <c:pt idx="3">
                  <c:v>D</c:v>
                </c:pt>
                <c:pt idx="4">
                  <c:v>F</c:v>
                </c:pt>
              </c:strCache>
            </c:strRef>
          </c:cat>
          <c:val>
            <c:numRef>
              <c:f>Grades!$U$19:$Y$19</c:f>
              <c:numCache>
                <c:formatCode>0%</c:formatCode>
                <c:ptCount val="5"/>
                <c:pt idx="0">
                  <c:v>0.41025641025641024</c:v>
                </c:pt>
                <c:pt idx="1">
                  <c:v>0.20512820512820512</c:v>
                </c:pt>
                <c:pt idx="2">
                  <c:v>2.564102564102564E-2</c:v>
                </c:pt>
                <c:pt idx="3">
                  <c:v>0.11538461538461539</c:v>
                </c:pt>
                <c:pt idx="4">
                  <c:v>0.24358974358974358</c:v>
                </c:pt>
              </c:numCache>
            </c:numRef>
          </c:val>
          <c:smooth val="0"/>
          <c:extLst xmlns:c16r2="http://schemas.microsoft.com/office/drawing/2015/06/chart">
            <c:ext xmlns:c16="http://schemas.microsoft.com/office/drawing/2014/chart" uri="{C3380CC4-5D6E-409C-BE32-E72D297353CC}">
              <c16:uniqueId val="{00000000-1DB5-49B4-B8EB-B2FD22BB4AAA}"/>
            </c:ext>
          </c:extLst>
        </c:ser>
        <c:ser>
          <c:idx val="3"/>
          <c:order val="2"/>
          <c:tx>
            <c:strRef>
              <c:f>Grades!$T$20</c:f>
              <c:strCache>
                <c:ptCount val="1"/>
                <c:pt idx="0">
                  <c:v>2018</c:v>
                </c:pt>
              </c:strCache>
            </c:strRef>
          </c:tx>
          <c:cat>
            <c:strRef>
              <c:f>Grades!$U$17:$Y$17</c:f>
              <c:strCache>
                <c:ptCount val="5"/>
                <c:pt idx="0">
                  <c:v>A</c:v>
                </c:pt>
                <c:pt idx="1">
                  <c:v>B</c:v>
                </c:pt>
                <c:pt idx="2">
                  <c:v>C</c:v>
                </c:pt>
                <c:pt idx="3">
                  <c:v>D</c:v>
                </c:pt>
                <c:pt idx="4">
                  <c:v>F</c:v>
                </c:pt>
              </c:strCache>
            </c:strRef>
          </c:cat>
          <c:val>
            <c:numRef>
              <c:f>Grades!$U$20:$Y$20</c:f>
              <c:numCache>
                <c:formatCode>0%</c:formatCode>
                <c:ptCount val="5"/>
                <c:pt idx="0">
                  <c:v>0.51</c:v>
                </c:pt>
                <c:pt idx="1">
                  <c:v>0.21</c:v>
                </c:pt>
                <c:pt idx="2">
                  <c:v>0.1</c:v>
                </c:pt>
                <c:pt idx="3">
                  <c:v>0.03</c:v>
                </c:pt>
                <c:pt idx="4">
                  <c:v>0.15</c:v>
                </c:pt>
              </c:numCache>
            </c:numRef>
          </c:val>
          <c:smooth val="0"/>
          <c:extLst xmlns:c16r2="http://schemas.microsoft.com/office/drawing/2015/06/chart">
            <c:ext xmlns:c16="http://schemas.microsoft.com/office/drawing/2014/chart" uri="{C3380CC4-5D6E-409C-BE32-E72D297353CC}">
              <c16:uniqueId val="{00000001-1DB5-49B4-B8EB-B2FD22BB4AAA}"/>
            </c:ext>
          </c:extLst>
        </c:ser>
        <c:dLbls>
          <c:showLegendKey val="0"/>
          <c:showVal val="0"/>
          <c:showCatName val="0"/>
          <c:showSerName val="0"/>
          <c:showPercent val="0"/>
          <c:showBubbleSize val="0"/>
        </c:dLbls>
        <c:marker val="1"/>
        <c:smooth val="0"/>
        <c:axId val="43250432"/>
        <c:axId val="43251968"/>
      </c:lineChart>
      <c:catAx>
        <c:axId val="43250432"/>
        <c:scaling>
          <c:orientation val="minMax"/>
        </c:scaling>
        <c:delete val="0"/>
        <c:axPos val="b"/>
        <c:numFmt formatCode="General" sourceLinked="1"/>
        <c:majorTickMark val="none"/>
        <c:minorTickMark val="none"/>
        <c:tickLblPos val="nextTo"/>
        <c:crossAx val="43251968"/>
        <c:crosses val="autoZero"/>
        <c:auto val="1"/>
        <c:lblAlgn val="ctr"/>
        <c:lblOffset val="100"/>
        <c:noMultiLvlLbl val="0"/>
      </c:catAx>
      <c:valAx>
        <c:axId val="43251968"/>
        <c:scaling>
          <c:orientation val="minMax"/>
          <c:max val="0.70000000000000007"/>
        </c:scaling>
        <c:delete val="0"/>
        <c:axPos val="l"/>
        <c:majorGridlines/>
        <c:numFmt formatCode="0%" sourceLinked="1"/>
        <c:majorTickMark val="none"/>
        <c:minorTickMark val="none"/>
        <c:tickLblPos val="nextTo"/>
        <c:spPr>
          <a:ln w="6350">
            <a:noFill/>
          </a:ln>
        </c:spPr>
        <c:crossAx val="43250432"/>
        <c:crosses val="autoZero"/>
        <c:crossBetween val="between"/>
        <c:majorUnit val="0.1"/>
      </c:valAx>
    </c:plotArea>
    <c:legend>
      <c:legendPos val="b"/>
      <c:layout/>
      <c:overlay val="0"/>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Risk Program Compliance</a:t>
            </a:r>
          </a:p>
          <a:p>
            <a:pPr>
              <a:defRPr sz="1100"/>
            </a:pPr>
            <a:endParaRPr lang="en-US" sz="1100"/>
          </a:p>
        </c:rich>
      </c:tx>
      <c:layout>
        <c:manualLayout>
          <c:xMode val="edge"/>
          <c:yMode val="edge"/>
          <c:x val="0.25295885905832882"/>
          <c:y val="5.0420168067226892E-2"/>
        </c:manualLayout>
      </c:layout>
      <c:overlay val="0"/>
    </c:title>
    <c:autoTitleDeleted val="0"/>
    <c:plotArea>
      <c:layout/>
      <c:pieChart>
        <c:varyColors val="1"/>
        <c:ser>
          <c:idx val="0"/>
          <c:order val="0"/>
          <c:dPt>
            <c:idx val="0"/>
            <c:bubble3D val="0"/>
            <c:spPr>
              <a:solidFill>
                <a:srgbClr val="00B050"/>
              </a:solidFill>
            </c:spPr>
            <c:extLst xmlns:c16r2="http://schemas.microsoft.com/office/drawing/2015/06/chart">
              <c:ext xmlns:c16="http://schemas.microsoft.com/office/drawing/2014/chart" uri="{C3380CC4-5D6E-409C-BE32-E72D297353CC}">
                <c16:uniqueId val="{00000001-78BA-43F3-9589-21084BE69528}"/>
              </c:ext>
            </c:extLst>
          </c:dPt>
          <c:dPt>
            <c:idx val="1"/>
            <c:bubble3D val="0"/>
            <c:spPr>
              <a:solidFill>
                <a:srgbClr val="FFFF00"/>
              </a:solidFill>
            </c:spPr>
            <c:extLst xmlns:c16r2="http://schemas.microsoft.com/office/drawing/2015/06/chart">
              <c:ext xmlns:c16="http://schemas.microsoft.com/office/drawing/2014/chart" uri="{C3380CC4-5D6E-409C-BE32-E72D297353CC}">
                <c16:uniqueId val="{00000003-78BA-43F3-9589-21084BE69528}"/>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5-78BA-43F3-9589-21084BE69528}"/>
              </c:ext>
            </c:extLst>
          </c:dPt>
          <c:dLbls>
            <c:spPr>
              <a:noFill/>
              <a:ln>
                <a:noFill/>
              </a:ln>
              <a:effectLst/>
            </c:spPr>
            <c:txPr>
              <a:bodyPr/>
              <a:lstStyle/>
              <a:p>
                <a:pPr>
                  <a:defRPr sz="800"/>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'Archer Search Report'!$Q$114:$Q$116</c:f>
              <c:strCache>
                <c:ptCount val="3"/>
                <c:pt idx="0">
                  <c:v>Complete</c:v>
                </c:pt>
                <c:pt idx="1">
                  <c:v>Partially Complete</c:v>
                </c:pt>
                <c:pt idx="2">
                  <c:v>Inadequate</c:v>
                </c:pt>
              </c:strCache>
            </c:strRef>
          </c:cat>
          <c:val>
            <c:numRef>
              <c:f>'Archer Search Report'!$R$114:$R$116</c:f>
              <c:numCache>
                <c:formatCode>General</c:formatCode>
                <c:ptCount val="3"/>
                <c:pt idx="0">
                  <c:v>40</c:v>
                </c:pt>
                <c:pt idx="1">
                  <c:v>26</c:v>
                </c:pt>
                <c:pt idx="2">
                  <c:v>12</c:v>
                </c:pt>
              </c:numCache>
            </c:numRef>
          </c:val>
          <c:extLst xmlns:c16r2="http://schemas.microsoft.com/office/drawing/2015/06/chart">
            <c:ext xmlns:c16="http://schemas.microsoft.com/office/drawing/2014/chart" uri="{C3380CC4-5D6E-409C-BE32-E72D297353CC}">
              <c16:uniqueId val="{00000006-78BA-43F3-9589-21084BE69528}"/>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Verdana" panose="020B0604030504040204" pitchFamily="34" charset="0"/>
                <a:ea typeface="Verdana" panose="020B0604030504040204" pitchFamily="34" charset="0"/>
                <a:cs typeface="Verdana" panose="020B0604030504040204" pitchFamily="34" charset="0"/>
              </a:rPr>
              <a:t>Risk Assessment Plan</a:t>
            </a:r>
          </a:p>
        </c:rich>
      </c:tx>
      <c:layout>
        <c:manualLayout>
          <c:xMode val="edge"/>
          <c:yMode val="edge"/>
          <c:x val="0.22255000243025178"/>
          <c:y val="3.1007751937984496E-2"/>
        </c:manualLayout>
      </c:layout>
      <c:overlay val="0"/>
    </c:title>
    <c:autoTitleDeleted val="0"/>
    <c:plotArea>
      <c:layout/>
      <c:pieChart>
        <c:varyColors val="1"/>
        <c:ser>
          <c:idx val="0"/>
          <c:order val="0"/>
          <c:spPr>
            <a:solidFill>
              <a:srgbClr val="FF0000"/>
            </a:solidFill>
          </c:spPr>
          <c:dPt>
            <c:idx val="0"/>
            <c:bubble3D val="0"/>
            <c:spPr>
              <a:solidFill>
                <a:srgbClr val="00B050"/>
              </a:solidFill>
            </c:spPr>
            <c:extLst xmlns:c16r2="http://schemas.microsoft.com/office/drawing/2015/06/chart">
              <c:ext xmlns:c16="http://schemas.microsoft.com/office/drawing/2014/chart" uri="{C3380CC4-5D6E-409C-BE32-E72D297353CC}">
                <c16:uniqueId val="{00000001-A5CD-4CFA-BA7B-4BBAD61019D8}"/>
              </c:ext>
            </c:extLst>
          </c:dPt>
          <c:dPt>
            <c:idx val="1"/>
            <c:bubble3D val="0"/>
            <c:explosion val="1"/>
            <c:extLst xmlns:c16r2="http://schemas.microsoft.com/office/drawing/2015/06/chart">
              <c:ext xmlns:c16="http://schemas.microsoft.com/office/drawing/2014/chart" uri="{C3380CC4-5D6E-409C-BE32-E72D297353CC}">
                <c16:uniqueId val="{00000003-A5CD-4CFA-BA7B-4BBAD61019D8}"/>
              </c:ext>
            </c:extLst>
          </c:dPt>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'Archer Search Report'!$X$82:$X$83</c:f>
              <c:strCache>
                <c:ptCount val="2"/>
                <c:pt idx="0">
                  <c:v>Pass</c:v>
                </c:pt>
                <c:pt idx="1">
                  <c:v>N/C</c:v>
                </c:pt>
              </c:strCache>
            </c:strRef>
          </c:cat>
          <c:val>
            <c:numRef>
              <c:f>'Archer Search Report'!$Y$82:$Y$83</c:f>
              <c:numCache>
                <c:formatCode>General</c:formatCode>
                <c:ptCount val="2"/>
                <c:pt idx="0">
                  <c:v>66</c:v>
                </c:pt>
                <c:pt idx="1">
                  <c:v>12</c:v>
                </c:pt>
              </c:numCache>
            </c:numRef>
          </c:val>
          <c:extLst xmlns:c16r2="http://schemas.microsoft.com/office/drawing/2015/06/chart">
            <c:ext xmlns:c16="http://schemas.microsoft.com/office/drawing/2014/chart" uri="{C3380CC4-5D6E-409C-BE32-E72D297353CC}">
              <c16:uniqueId val="{00000004-A5CD-4CFA-BA7B-4BBAD61019D8}"/>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Verdana" panose="020B0604030504040204" pitchFamily="34" charset="0"/>
                <a:ea typeface="Verdana" panose="020B0604030504040204" pitchFamily="34" charset="0"/>
                <a:cs typeface="Verdana" panose="020B0604030504040204" pitchFamily="34" charset="0"/>
              </a:rPr>
              <a:t>Three-Year Risk</a:t>
            </a:r>
            <a:r>
              <a:rPr lang="en-US" sz="1200" baseline="0">
                <a:latin typeface="Verdana" panose="020B0604030504040204" pitchFamily="34" charset="0"/>
                <a:ea typeface="Verdana" panose="020B0604030504040204" pitchFamily="34" charset="0"/>
                <a:cs typeface="Verdana" panose="020B0604030504040204" pitchFamily="34" charset="0"/>
              </a:rPr>
              <a:t> Assessment Obligation</a:t>
            </a:r>
            <a:endParaRPr lang="en-US"/>
          </a:p>
        </c:rich>
      </c:tx>
      <c:layout/>
      <c:overlay val="0"/>
    </c:title>
    <c:autoTitleDeleted val="0"/>
    <c:plotArea>
      <c:layout/>
      <c:pieChart>
        <c:varyColors val="1"/>
        <c:ser>
          <c:idx val="0"/>
          <c:order val="0"/>
          <c:dPt>
            <c:idx val="0"/>
            <c:bubble3D val="0"/>
            <c:spPr>
              <a:solidFill>
                <a:srgbClr val="00B050"/>
              </a:solidFill>
            </c:spPr>
            <c:extLst xmlns:c16r2="http://schemas.microsoft.com/office/drawing/2015/06/chart">
              <c:ext xmlns:c16="http://schemas.microsoft.com/office/drawing/2014/chart" uri="{C3380CC4-5D6E-409C-BE32-E72D297353CC}">
                <c16:uniqueId val="{00000008-B0C8-43D1-9381-81A67A5C675C}"/>
              </c:ext>
            </c:extLst>
          </c:dPt>
          <c:dPt>
            <c:idx val="1"/>
            <c:bubble3D val="0"/>
            <c:spPr>
              <a:solidFill>
                <a:srgbClr val="FFFF00"/>
              </a:solidFill>
            </c:spPr>
            <c:extLst xmlns:c16r2="http://schemas.microsoft.com/office/drawing/2015/06/chart">
              <c:ext xmlns:c16="http://schemas.microsoft.com/office/drawing/2014/chart" uri="{C3380CC4-5D6E-409C-BE32-E72D297353CC}">
                <c16:uniqueId val="{00000012-B0C8-43D1-9381-81A67A5C675C}"/>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D-B0C8-43D1-9381-81A67A5C675C}"/>
              </c:ext>
            </c:extLst>
          </c:dPt>
          <c:dLbls>
            <c:dLbl>
              <c:idx val="1"/>
              <c:layout>
                <c:manualLayout>
                  <c:x val="-2.0195059109300311E-3"/>
                  <c:y val="-4.9996708694561515E-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B0C8-43D1-9381-81A67A5C675C}"/>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'Archer Search Report'!$X$99:$X$101</c:f>
              <c:strCache>
                <c:ptCount val="3"/>
                <c:pt idx="0">
                  <c:v>Complete</c:v>
                </c:pt>
                <c:pt idx="1">
                  <c:v>Partially Complete</c:v>
                </c:pt>
                <c:pt idx="2">
                  <c:v>Insufficient</c:v>
                </c:pt>
              </c:strCache>
            </c:strRef>
          </c:cat>
          <c:val>
            <c:numRef>
              <c:f>'Archer Search Report'!$Y$99:$Y$101</c:f>
              <c:numCache>
                <c:formatCode>General</c:formatCode>
                <c:ptCount val="3"/>
                <c:pt idx="0">
                  <c:v>38</c:v>
                </c:pt>
                <c:pt idx="1">
                  <c:v>17</c:v>
                </c:pt>
                <c:pt idx="2">
                  <c:v>24</c:v>
                </c:pt>
              </c:numCache>
            </c:numRef>
          </c:val>
          <c:extLst xmlns:c16r2="http://schemas.microsoft.com/office/drawing/2015/06/chart">
            <c:ext xmlns:c16="http://schemas.microsoft.com/office/drawing/2014/chart" uri="{C3380CC4-5D6E-409C-BE32-E72D297353CC}">
              <c16:uniqueId val="{00000000-F9EC-49EA-82B4-89783399258C}"/>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Percent of Certified ISOs</a:t>
            </a:r>
          </a:p>
        </c:rich>
      </c:tx>
      <c:layout/>
      <c:overlay val="0"/>
    </c:title>
    <c:autoTitleDeleted val="0"/>
    <c:plotArea>
      <c:layout/>
      <c:pieChart>
        <c:varyColors val="1"/>
        <c:ser>
          <c:idx val="0"/>
          <c:order val="0"/>
          <c:dPt>
            <c:idx val="0"/>
            <c:bubble3D val="0"/>
            <c:spPr>
              <a:solidFill>
                <a:srgbClr val="00B050"/>
              </a:solidFill>
            </c:spPr>
            <c:extLst xmlns:c16r2="http://schemas.microsoft.com/office/drawing/2015/06/chart">
              <c:ext xmlns:c16="http://schemas.microsoft.com/office/drawing/2014/chart" uri="{C3380CC4-5D6E-409C-BE32-E72D297353CC}">
                <c16:uniqueId val="{00000007-257B-433E-9A8D-18AF7D6FA161}"/>
              </c:ext>
            </c:extLst>
          </c:dPt>
          <c:dPt>
            <c:idx val="1"/>
            <c:bubble3D val="0"/>
            <c:spPr>
              <a:solidFill>
                <a:srgbClr val="FF0000"/>
              </a:solidFill>
            </c:spPr>
            <c:extLst xmlns:c16r2="http://schemas.microsoft.com/office/drawing/2015/06/chart">
              <c:ext xmlns:c16="http://schemas.microsoft.com/office/drawing/2014/chart" uri="{C3380CC4-5D6E-409C-BE32-E72D297353CC}">
                <c16:uniqueId val="{0000000E-257B-433E-9A8D-18AF7D6FA161}"/>
              </c:ext>
            </c:extLst>
          </c:dPt>
          <c:dLbls>
            <c:dLbl>
              <c:idx val="1"/>
              <c:layout>
                <c:manualLayout>
                  <c:x val="5.6813943833428325E-3"/>
                  <c:y val="7.5018600935752591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257B-433E-9A8D-18AF7D6FA161}"/>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'Archer Search Report'!$AC$105:$AC$106</c:f>
              <c:strCache>
                <c:ptCount val="2"/>
                <c:pt idx="0">
                  <c:v>Pass</c:v>
                </c:pt>
                <c:pt idx="1">
                  <c:v>N/C</c:v>
                </c:pt>
              </c:strCache>
            </c:strRef>
          </c:cat>
          <c:val>
            <c:numRef>
              <c:f>'Archer Search Report'!$AD$105:$AD$106</c:f>
              <c:numCache>
                <c:formatCode>General</c:formatCode>
                <c:ptCount val="2"/>
                <c:pt idx="0">
                  <c:v>74</c:v>
                </c:pt>
                <c:pt idx="1">
                  <c:v>4</c:v>
                </c:pt>
              </c:numCache>
            </c:numRef>
          </c:val>
          <c:extLst xmlns:c16r2="http://schemas.microsoft.com/office/drawing/2015/06/chart">
            <c:ext xmlns:c16="http://schemas.microsoft.com/office/drawing/2014/chart" uri="{C3380CC4-5D6E-409C-BE32-E72D297353CC}">
              <c16:uniqueId val="{00000000-5AB2-46A5-A08E-2A27DAE3EF68}"/>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Verdana" panose="020B0604030504040204" pitchFamily="34" charset="0"/>
                <a:ea typeface="Verdana" panose="020B0604030504040204" pitchFamily="34" charset="0"/>
                <a:cs typeface="Verdana" panose="020B0604030504040204" pitchFamily="34" charset="0"/>
              </a:defRPr>
            </a:pPr>
            <a:r>
              <a:rPr lang="en-US" sz="1200">
                <a:latin typeface="Verdana" panose="020B0604030504040204" pitchFamily="34" charset="0"/>
                <a:ea typeface="Verdana" panose="020B0604030504040204" pitchFamily="34" charset="0"/>
                <a:cs typeface="Verdana" panose="020B0604030504040204" pitchFamily="34" charset="0"/>
              </a:rPr>
              <a:t>Business</a:t>
            </a:r>
            <a:r>
              <a:rPr lang="en-US" sz="1200" baseline="0">
                <a:latin typeface="Verdana" panose="020B0604030504040204" pitchFamily="34" charset="0"/>
                <a:ea typeface="Verdana" panose="020B0604030504040204" pitchFamily="34" charset="0"/>
                <a:cs typeface="Verdana" panose="020B0604030504040204" pitchFamily="34" charset="0"/>
              </a:rPr>
              <a:t> Impact Analysis</a:t>
            </a:r>
            <a:endParaRPr lang="en-US" sz="1200">
              <a:latin typeface="Verdana" panose="020B0604030504040204" pitchFamily="34" charset="0"/>
              <a:ea typeface="Verdana" panose="020B0604030504040204" pitchFamily="34" charset="0"/>
              <a:cs typeface="Verdana" panose="020B0604030504040204" pitchFamily="34" charset="0"/>
            </a:endParaRPr>
          </a:p>
        </c:rich>
      </c:tx>
      <c:layout>
        <c:manualLayout>
          <c:xMode val="edge"/>
          <c:yMode val="edge"/>
          <c:x val="0.2385347095458262"/>
          <c:y val="8.6446802845296503E-2"/>
        </c:manualLayout>
      </c:layout>
      <c:overlay val="0"/>
    </c:title>
    <c:autoTitleDeleted val="0"/>
    <c:plotArea>
      <c:layout>
        <c:manualLayout>
          <c:layoutTarget val="inner"/>
          <c:xMode val="edge"/>
          <c:yMode val="edge"/>
          <c:x val="0.39022226229354917"/>
          <c:y val="0.46154328600491201"/>
          <c:w val="0.26287986750182851"/>
          <c:h val="0.41647262092523757"/>
        </c:manualLayout>
      </c:layout>
      <c:pieChart>
        <c:varyColors val="1"/>
        <c:ser>
          <c:idx val="0"/>
          <c:order val="0"/>
          <c:dPt>
            <c:idx val="0"/>
            <c:bubble3D val="0"/>
            <c:spPr>
              <a:solidFill>
                <a:srgbClr val="00B050"/>
              </a:solidFill>
            </c:spPr>
            <c:extLst xmlns:c16r2="http://schemas.microsoft.com/office/drawing/2015/06/chart">
              <c:ext xmlns:c16="http://schemas.microsoft.com/office/drawing/2014/chart" uri="{C3380CC4-5D6E-409C-BE32-E72D297353CC}">
                <c16:uniqueId val="{00000006-456A-4E02-BECC-E19EB363ADCC}"/>
              </c:ext>
            </c:extLst>
          </c:dPt>
          <c:dPt>
            <c:idx val="1"/>
            <c:bubble3D val="0"/>
            <c:spPr>
              <a:solidFill>
                <a:srgbClr val="FFFF00"/>
              </a:solidFill>
            </c:spPr>
            <c:extLst xmlns:c16r2="http://schemas.microsoft.com/office/drawing/2015/06/chart">
              <c:ext xmlns:c16="http://schemas.microsoft.com/office/drawing/2014/chart" uri="{C3380CC4-5D6E-409C-BE32-E72D297353CC}">
                <c16:uniqueId val="{00000005-456A-4E02-BECC-E19EB363ADCC}"/>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0-456A-4E02-BECC-E19EB363ADCC}"/>
              </c:ext>
            </c:extLst>
          </c:dPt>
          <c:dLbls>
            <c:dLbl>
              <c:idx val="1"/>
              <c:layout>
                <c:manualLayout>
                  <c:x val="1.6005015075443799E-5"/>
                  <c:y val="3.895230318782196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56A-4E02-BECC-E19EB363ADCC}"/>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'Archer Search Report'!$AA$84:$AA$86</c:f>
              <c:strCache>
                <c:ptCount val="3"/>
                <c:pt idx="0">
                  <c:v>Complete</c:v>
                </c:pt>
                <c:pt idx="1">
                  <c:v>Partially Complete</c:v>
                </c:pt>
                <c:pt idx="2">
                  <c:v>Insufficient</c:v>
                </c:pt>
              </c:strCache>
            </c:strRef>
          </c:cat>
          <c:val>
            <c:numRef>
              <c:f>'Archer Search Report'!$AB$84:$AB$86</c:f>
              <c:numCache>
                <c:formatCode>General</c:formatCode>
                <c:ptCount val="3"/>
                <c:pt idx="0">
                  <c:v>64</c:v>
                </c:pt>
                <c:pt idx="1">
                  <c:v>4</c:v>
                </c:pt>
                <c:pt idx="2">
                  <c:v>10</c:v>
                </c:pt>
              </c:numCache>
            </c:numRef>
          </c:val>
          <c:extLst xmlns:c16r2="http://schemas.microsoft.com/office/drawing/2015/06/chart">
            <c:ext xmlns:c16="http://schemas.microsoft.com/office/drawing/2014/chart" uri="{C3380CC4-5D6E-409C-BE32-E72D297353CC}">
              <c16:uniqueId val="{00000000-D017-4427-B8E5-B020397AE2C1}"/>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Verdana" panose="020B0604030504040204" pitchFamily="34" charset="0"/>
                <a:ea typeface="Verdana" panose="020B0604030504040204" pitchFamily="34" charset="0"/>
                <a:cs typeface="Verdana" panose="020B0604030504040204" pitchFamily="34" charset="0"/>
              </a:defRPr>
            </a:pPr>
            <a:r>
              <a:rPr lang="en-US" sz="1200">
                <a:latin typeface="Verdana" panose="020B0604030504040204" pitchFamily="34" charset="0"/>
                <a:ea typeface="Verdana" panose="020B0604030504040204" pitchFamily="34" charset="0"/>
                <a:cs typeface="Verdana" panose="020B0604030504040204" pitchFamily="34" charset="0"/>
              </a:rPr>
              <a:t>NCSR</a:t>
            </a:r>
            <a:r>
              <a:rPr lang="en-US" sz="1200" baseline="0">
                <a:latin typeface="Verdana" panose="020B0604030504040204" pitchFamily="34" charset="0"/>
                <a:ea typeface="Verdana" panose="020B0604030504040204" pitchFamily="34" charset="0"/>
                <a:cs typeface="Verdana" panose="020B0604030504040204" pitchFamily="34" charset="0"/>
              </a:rPr>
              <a:t> Results </a:t>
            </a:r>
          </a:p>
          <a:p>
            <a:pPr>
              <a:defRPr sz="1200">
                <a:latin typeface="Verdana" panose="020B0604030504040204" pitchFamily="34" charset="0"/>
                <a:ea typeface="Verdana" panose="020B0604030504040204" pitchFamily="34" charset="0"/>
                <a:cs typeface="Verdana" panose="020B0604030504040204" pitchFamily="34" charset="0"/>
              </a:defRPr>
            </a:pPr>
            <a:r>
              <a:rPr lang="en-US" sz="1200" baseline="0">
                <a:latin typeface="Verdana" panose="020B0604030504040204" pitchFamily="34" charset="0"/>
                <a:ea typeface="Verdana" panose="020B0604030504040204" pitchFamily="34" charset="0"/>
                <a:cs typeface="Verdana" panose="020B0604030504040204" pitchFamily="34" charset="0"/>
              </a:rPr>
              <a:t>Year over Year Comparison</a:t>
            </a:r>
            <a:endParaRPr lang="en-US" sz="1200">
              <a:latin typeface="Verdana" panose="020B0604030504040204" pitchFamily="34" charset="0"/>
              <a:ea typeface="Verdana" panose="020B0604030504040204" pitchFamily="34" charset="0"/>
              <a:cs typeface="Verdana" panose="020B0604030504040204" pitchFamily="34" charset="0"/>
            </a:endParaRPr>
          </a:p>
        </c:rich>
      </c:tx>
      <c:layout/>
      <c:overlay val="0"/>
    </c:title>
    <c:autoTitleDeleted val="0"/>
    <c:plotArea>
      <c:layout/>
      <c:barChart>
        <c:barDir val="col"/>
        <c:grouping val="clustered"/>
        <c:varyColors val="0"/>
        <c:ser>
          <c:idx val="1"/>
          <c:order val="0"/>
          <c:tx>
            <c:strRef>
              <c:f>Summary!$E$4</c:f>
              <c:strCache>
                <c:ptCount val="1"/>
                <c:pt idx="0">
                  <c:v>2016 COV Results</c:v>
                </c:pt>
              </c:strCache>
            </c:strRef>
          </c:tx>
          <c:spPr>
            <a:solidFill>
              <a:srgbClr val="7030A0"/>
            </a:solidFill>
          </c:spPr>
          <c:invertIfNegative val="0"/>
          <c:cat>
            <c:strRef>
              <c:f>Summary!$B$5:$B$9</c:f>
              <c:strCache>
                <c:ptCount val="5"/>
                <c:pt idx="0">
                  <c:v>Identify</c:v>
                </c:pt>
                <c:pt idx="1">
                  <c:v>Protect</c:v>
                </c:pt>
                <c:pt idx="2">
                  <c:v>Detect</c:v>
                </c:pt>
                <c:pt idx="3">
                  <c:v>Respond</c:v>
                </c:pt>
                <c:pt idx="4">
                  <c:v>Recover</c:v>
                </c:pt>
              </c:strCache>
            </c:strRef>
          </c:cat>
          <c:val>
            <c:numRef>
              <c:f>Summary!$E$5:$E$9</c:f>
              <c:numCache>
                <c:formatCode>General</c:formatCode>
                <c:ptCount val="5"/>
                <c:pt idx="0">
                  <c:v>5.0009257962962961</c:v>
                </c:pt>
                <c:pt idx="1">
                  <c:v>5.3537792037037022</c:v>
                </c:pt>
                <c:pt idx="2">
                  <c:v>4.966820888888889</c:v>
                </c:pt>
                <c:pt idx="3">
                  <c:v>4.841604814814815</c:v>
                </c:pt>
                <c:pt idx="4">
                  <c:v>4.841604814814815</c:v>
                </c:pt>
              </c:numCache>
            </c:numRef>
          </c:val>
          <c:extLst xmlns:c16r2="http://schemas.microsoft.com/office/drawing/2015/06/chart">
            <c:ext xmlns:c16="http://schemas.microsoft.com/office/drawing/2014/chart" uri="{C3380CC4-5D6E-409C-BE32-E72D297353CC}">
              <c16:uniqueId val="{00000000-C68F-4E9D-8943-78692F652780}"/>
            </c:ext>
          </c:extLst>
        </c:ser>
        <c:ser>
          <c:idx val="0"/>
          <c:order val="1"/>
          <c:tx>
            <c:strRef>
              <c:f>Summary!$D$4</c:f>
              <c:strCache>
                <c:ptCount val="1"/>
                <c:pt idx="0">
                  <c:v>2017 COV</c:v>
                </c:pt>
              </c:strCache>
            </c:strRef>
          </c:tx>
          <c:invertIfNegative val="0"/>
          <c:cat>
            <c:strRef>
              <c:f>Summary!$B$5:$B$9</c:f>
              <c:strCache>
                <c:ptCount val="5"/>
                <c:pt idx="0">
                  <c:v>Identify</c:v>
                </c:pt>
                <c:pt idx="1">
                  <c:v>Protect</c:v>
                </c:pt>
                <c:pt idx="2">
                  <c:v>Detect</c:v>
                </c:pt>
                <c:pt idx="3">
                  <c:v>Respond</c:v>
                </c:pt>
                <c:pt idx="4">
                  <c:v>Recover</c:v>
                </c:pt>
              </c:strCache>
            </c:strRef>
          </c:cat>
          <c:val>
            <c:numRef>
              <c:f>Summary!$D$5:$D$9</c:f>
              <c:numCache>
                <c:formatCode>General</c:formatCode>
                <c:ptCount val="5"/>
                <c:pt idx="0">
                  <c:v>5.4056410256410254</c:v>
                </c:pt>
                <c:pt idx="1">
                  <c:v>5.5215384615384604</c:v>
                </c:pt>
                <c:pt idx="2">
                  <c:v>5.1512820512820507</c:v>
                </c:pt>
                <c:pt idx="3">
                  <c:v>4.9776923076923074</c:v>
                </c:pt>
                <c:pt idx="4">
                  <c:v>5.0066666666666668</c:v>
                </c:pt>
              </c:numCache>
            </c:numRef>
          </c:val>
          <c:extLst xmlns:c16r2="http://schemas.microsoft.com/office/drawing/2015/06/chart">
            <c:ext xmlns:c16="http://schemas.microsoft.com/office/drawing/2014/chart" uri="{C3380CC4-5D6E-409C-BE32-E72D297353CC}">
              <c16:uniqueId val="{00000001-C68F-4E9D-8943-78692F652780}"/>
            </c:ext>
          </c:extLst>
        </c:ser>
        <c:ser>
          <c:idx val="2"/>
          <c:order val="2"/>
          <c:tx>
            <c:v>2018 COV</c:v>
          </c:tx>
          <c:invertIfNegative val="0"/>
          <c:cat>
            <c:strRef>
              <c:f>Summary!$B$5:$B$9</c:f>
              <c:strCache>
                <c:ptCount val="5"/>
                <c:pt idx="0">
                  <c:v>Identify</c:v>
                </c:pt>
                <c:pt idx="1">
                  <c:v>Protect</c:v>
                </c:pt>
                <c:pt idx="2">
                  <c:v>Detect</c:v>
                </c:pt>
                <c:pt idx="3">
                  <c:v>Respond</c:v>
                </c:pt>
                <c:pt idx="4">
                  <c:v>Recover</c:v>
                </c:pt>
              </c:strCache>
            </c:strRef>
          </c:cat>
          <c:val>
            <c:numRef>
              <c:f>Summary!$C$5:$C$9</c:f>
              <c:numCache>
                <c:formatCode>General</c:formatCode>
                <c:ptCount val="5"/>
                <c:pt idx="0">
                  <c:v>5.2449206349206365</c:v>
                </c:pt>
                <c:pt idx="1">
                  <c:v>5.4855555555555569</c:v>
                </c:pt>
                <c:pt idx="2">
                  <c:v>5.3801587301587297</c:v>
                </c:pt>
                <c:pt idx="3">
                  <c:v>5.0588888888888883</c:v>
                </c:pt>
                <c:pt idx="4">
                  <c:v>4.9726984126984135</c:v>
                </c:pt>
              </c:numCache>
            </c:numRef>
          </c:val>
          <c:extLst xmlns:c16r2="http://schemas.microsoft.com/office/drawing/2015/06/chart">
            <c:ext xmlns:c16="http://schemas.microsoft.com/office/drawing/2014/chart" uri="{C3380CC4-5D6E-409C-BE32-E72D297353CC}">
              <c16:uniqueId val="{00000002-C68F-4E9D-8943-78692F652780}"/>
            </c:ext>
          </c:extLst>
        </c:ser>
        <c:dLbls>
          <c:showLegendKey val="0"/>
          <c:showVal val="0"/>
          <c:showCatName val="0"/>
          <c:showSerName val="0"/>
          <c:showPercent val="0"/>
          <c:showBubbleSize val="0"/>
        </c:dLbls>
        <c:gapWidth val="150"/>
        <c:axId val="43054976"/>
        <c:axId val="43056512"/>
      </c:barChart>
      <c:lineChart>
        <c:grouping val="standard"/>
        <c:varyColors val="0"/>
        <c:ser>
          <c:idx val="3"/>
          <c:order val="3"/>
          <c:tx>
            <c:strRef>
              <c:f>Summary!$G$4</c:f>
              <c:strCache>
                <c:ptCount val="1"/>
                <c:pt idx="0">
                  <c:v>Target</c:v>
                </c:pt>
              </c:strCache>
            </c:strRef>
          </c:tx>
          <c:marker>
            <c:symbol val="none"/>
          </c:marker>
          <c:cat>
            <c:strRef>
              <c:f>Summary!$B$5:$B$9</c:f>
              <c:strCache>
                <c:ptCount val="5"/>
                <c:pt idx="0">
                  <c:v>Identify</c:v>
                </c:pt>
                <c:pt idx="1">
                  <c:v>Protect</c:v>
                </c:pt>
                <c:pt idx="2">
                  <c:v>Detect</c:v>
                </c:pt>
                <c:pt idx="3">
                  <c:v>Respond</c:v>
                </c:pt>
                <c:pt idx="4">
                  <c:v>Recover</c:v>
                </c:pt>
              </c:strCache>
            </c:strRef>
          </c:cat>
          <c:val>
            <c:numRef>
              <c:f>Summary!$G$5:$G$9</c:f>
              <c:numCache>
                <c:formatCode>General</c:formatCode>
                <c:ptCount val="5"/>
                <c:pt idx="0">
                  <c:v>5</c:v>
                </c:pt>
                <c:pt idx="1">
                  <c:v>5</c:v>
                </c:pt>
                <c:pt idx="2">
                  <c:v>5</c:v>
                </c:pt>
                <c:pt idx="3">
                  <c:v>5</c:v>
                </c:pt>
                <c:pt idx="4">
                  <c:v>5</c:v>
                </c:pt>
              </c:numCache>
            </c:numRef>
          </c:val>
          <c:smooth val="0"/>
          <c:extLst xmlns:c16r2="http://schemas.microsoft.com/office/drawing/2015/06/chart">
            <c:ext xmlns:c16="http://schemas.microsoft.com/office/drawing/2014/chart" uri="{C3380CC4-5D6E-409C-BE32-E72D297353CC}">
              <c16:uniqueId val="{00000003-C68F-4E9D-8943-78692F652780}"/>
            </c:ext>
          </c:extLst>
        </c:ser>
        <c:dLbls>
          <c:showLegendKey val="0"/>
          <c:showVal val="0"/>
          <c:showCatName val="0"/>
          <c:showSerName val="0"/>
          <c:showPercent val="0"/>
          <c:showBubbleSize val="0"/>
        </c:dLbls>
        <c:marker val="1"/>
        <c:smooth val="0"/>
        <c:axId val="43054976"/>
        <c:axId val="43056512"/>
      </c:lineChart>
      <c:catAx>
        <c:axId val="43054976"/>
        <c:scaling>
          <c:orientation val="minMax"/>
        </c:scaling>
        <c:delete val="0"/>
        <c:axPos val="b"/>
        <c:numFmt formatCode="General" sourceLinked="0"/>
        <c:majorTickMark val="none"/>
        <c:minorTickMark val="none"/>
        <c:tickLblPos val="nextTo"/>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crossAx val="43056512"/>
        <c:crossesAt val="0"/>
        <c:auto val="1"/>
        <c:lblAlgn val="ctr"/>
        <c:lblOffset val="100"/>
        <c:noMultiLvlLbl val="0"/>
      </c:catAx>
      <c:valAx>
        <c:axId val="43056512"/>
        <c:scaling>
          <c:orientation val="minMax"/>
          <c:max val="7"/>
          <c:min val="0"/>
        </c:scaling>
        <c:delete val="0"/>
        <c:axPos val="l"/>
        <c:majorGridlines>
          <c:spPr>
            <a:ln>
              <a:prstDash val="sysDash"/>
            </a:ln>
          </c:spPr>
        </c:majorGridlines>
        <c:numFmt formatCode="#,##0" sourceLinked="0"/>
        <c:majorTickMark val="none"/>
        <c:minorTickMark val="none"/>
        <c:tickLblPos val="nextTo"/>
        <c:spPr>
          <a:ln w="9525">
            <a:noFill/>
          </a:ln>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crossAx val="43054976"/>
        <c:crosses val="autoZero"/>
        <c:crossBetween val="between"/>
        <c:majorUnit val="1"/>
        <c:minorUnit val="0.5"/>
      </c:valAx>
    </c:plotArea>
    <c:legend>
      <c:legendPos val="b"/>
      <c:legendEntry>
        <c:idx val="3"/>
        <c:delete val="1"/>
      </c:legendEntry>
      <c:layout/>
      <c:overlay val="0"/>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legend>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sz="1200"/>
              <a:t>NCSR Results </a:t>
            </a:r>
            <a:br>
              <a:rPr lang="en-US" sz="1200"/>
            </a:br>
            <a:r>
              <a:rPr lang="en-US" sz="1200"/>
              <a:t>COV to Peer States Comparison</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COV 2018</c:v>
                </c:pt>
              </c:strCache>
            </c:strRef>
          </c:tx>
          <c:spPr>
            <a:solidFill>
              <a:schemeClr val="accent1"/>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Identify</c:v>
                </c:pt>
                <c:pt idx="1">
                  <c:v>Protect</c:v>
                </c:pt>
                <c:pt idx="2">
                  <c:v>Detect</c:v>
                </c:pt>
                <c:pt idx="3">
                  <c:v>Respond</c:v>
                </c:pt>
                <c:pt idx="4">
                  <c:v>Recover</c:v>
                </c:pt>
              </c:strCache>
            </c:strRef>
          </c:cat>
          <c:val>
            <c:numRef>
              <c:f>Sheet1!$B$2:$B$6</c:f>
              <c:numCache>
                <c:formatCode>General</c:formatCode>
                <c:ptCount val="5"/>
                <c:pt idx="0">
                  <c:v>5.42</c:v>
                </c:pt>
                <c:pt idx="1">
                  <c:v>5.48</c:v>
                </c:pt>
                <c:pt idx="2">
                  <c:v>5.38</c:v>
                </c:pt>
                <c:pt idx="3">
                  <c:v>5.05</c:v>
                </c:pt>
                <c:pt idx="4">
                  <c:v>4.97</c:v>
                </c:pt>
              </c:numCache>
            </c:numRef>
          </c:val>
          <c:extLst xmlns:c16r2="http://schemas.microsoft.com/office/drawing/2015/06/chart">
            <c:ext xmlns:c16="http://schemas.microsoft.com/office/drawing/2014/chart" uri="{C3380CC4-5D6E-409C-BE32-E72D297353CC}">
              <c16:uniqueId val="{00000000-6302-4F36-AE5E-842DE9EAD1A1}"/>
            </c:ext>
          </c:extLst>
        </c:ser>
        <c:ser>
          <c:idx val="1"/>
          <c:order val="1"/>
          <c:tx>
            <c:strRef>
              <c:f>Sheet1!$C$1</c:f>
              <c:strCache>
                <c:ptCount val="1"/>
                <c:pt idx="0">
                  <c:v>2017 Peer</c:v>
                </c:pt>
              </c:strCache>
            </c:strRef>
          </c:tx>
          <c:spPr>
            <a:solidFill>
              <a:schemeClr val="accent2"/>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Identify</c:v>
                </c:pt>
                <c:pt idx="1">
                  <c:v>Protect</c:v>
                </c:pt>
                <c:pt idx="2">
                  <c:v>Detect</c:v>
                </c:pt>
                <c:pt idx="3">
                  <c:v>Respond</c:v>
                </c:pt>
                <c:pt idx="4">
                  <c:v>Recover</c:v>
                </c:pt>
              </c:strCache>
            </c:strRef>
          </c:cat>
          <c:val>
            <c:numRef>
              <c:f>Sheet1!$C$2:$C$6</c:f>
              <c:numCache>
                <c:formatCode>General</c:formatCode>
                <c:ptCount val="5"/>
                <c:pt idx="0">
                  <c:v>4.3</c:v>
                </c:pt>
                <c:pt idx="1">
                  <c:v>4.9000000000000004</c:v>
                </c:pt>
                <c:pt idx="2">
                  <c:v>4.9000000000000004</c:v>
                </c:pt>
                <c:pt idx="3">
                  <c:v>5.01</c:v>
                </c:pt>
                <c:pt idx="4">
                  <c:v>4.5999999999999996</c:v>
                </c:pt>
              </c:numCache>
            </c:numRef>
          </c:val>
          <c:extLst xmlns:c16r2="http://schemas.microsoft.com/office/drawing/2015/06/chart">
            <c:ext xmlns:c16="http://schemas.microsoft.com/office/drawing/2014/chart" uri="{C3380CC4-5D6E-409C-BE32-E72D297353CC}">
              <c16:uniqueId val="{00000001-6302-4F36-AE5E-842DE9EAD1A1}"/>
            </c:ext>
          </c:extLst>
        </c:ser>
        <c:dLbls>
          <c:showLegendKey val="0"/>
          <c:showVal val="0"/>
          <c:showCatName val="0"/>
          <c:showSerName val="0"/>
          <c:showPercent val="0"/>
          <c:showBubbleSize val="0"/>
        </c:dLbls>
        <c:gapWidth val="219"/>
        <c:overlap val="-27"/>
        <c:axId val="43702528"/>
        <c:axId val="43708416"/>
      </c:barChart>
      <c:catAx>
        <c:axId val="4370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3708416"/>
        <c:crosses val="autoZero"/>
        <c:auto val="1"/>
        <c:lblAlgn val="ctr"/>
        <c:lblOffset val="100"/>
        <c:noMultiLvlLbl val="0"/>
      </c:catAx>
      <c:valAx>
        <c:axId val="43708416"/>
        <c:scaling>
          <c:orientation val="minMax"/>
          <c:max val="7"/>
        </c:scaling>
        <c:delete val="0"/>
        <c:axPos val="l"/>
        <c:majorGridlines>
          <c:spPr>
            <a:ln w="952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43702528"/>
        <c:crosses val="autoZero"/>
        <c:crossBetween val="between"/>
      </c:valAx>
      <c:spPr>
        <a:noFill/>
        <a:ln>
          <a:noFill/>
          <a:prstDash val="sysDash"/>
        </a:ln>
        <a:effectLst/>
      </c:spPr>
    </c:plotArea>
    <c:legend>
      <c:legendPos val="b"/>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sz="1200"/>
              <a:t>Identify</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'NCSR Charts'!$D$81:$I$81</c:f>
              <c:strCache>
                <c:ptCount val="6"/>
                <c:pt idx="0">
                  <c:v>Average-ID-AM</c:v>
                </c:pt>
                <c:pt idx="1">
                  <c:v>Average-ID-BE</c:v>
                </c:pt>
                <c:pt idx="2">
                  <c:v>Average-ID-GV</c:v>
                </c:pt>
                <c:pt idx="3">
                  <c:v>Average-ID-RA</c:v>
                </c:pt>
                <c:pt idx="4">
                  <c:v>Average-ID-RM</c:v>
                </c:pt>
                <c:pt idx="5">
                  <c:v>Average-ID-SC</c:v>
                </c:pt>
              </c:strCache>
            </c:strRef>
          </c:cat>
          <c:val>
            <c:numRef>
              <c:f>'NCSR Charts'!$D$82:$I$82</c:f>
              <c:numCache>
                <c:formatCode>General</c:formatCode>
                <c:ptCount val="6"/>
                <c:pt idx="0">
                  <c:v>4.3181818181818183</c:v>
                </c:pt>
                <c:pt idx="1">
                  <c:v>4.3766233766233764</c:v>
                </c:pt>
                <c:pt idx="2">
                  <c:v>4.3571428571428568</c:v>
                </c:pt>
                <c:pt idx="3">
                  <c:v>4.4048051948051947</c:v>
                </c:pt>
                <c:pt idx="4">
                  <c:v>4.1474025974025981</c:v>
                </c:pt>
                <c:pt idx="5">
                  <c:v>4.1428571428571423</c:v>
                </c:pt>
              </c:numCache>
            </c:numRef>
          </c:val>
          <c:extLst xmlns:c16r2="http://schemas.microsoft.com/office/drawing/2015/06/chart">
            <c:ext xmlns:c16="http://schemas.microsoft.com/office/drawing/2014/chart" uri="{C3380CC4-5D6E-409C-BE32-E72D297353CC}">
              <c16:uniqueId val="{00000000-E6B0-454F-925D-83379C4AA499}"/>
            </c:ext>
          </c:extLst>
        </c:ser>
        <c:dLbls>
          <c:showLegendKey val="0"/>
          <c:showVal val="0"/>
          <c:showCatName val="0"/>
          <c:showSerName val="0"/>
          <c:showPercent val="0"/>
          <c:showBubbleSize val="0"/>
        </c:dLbls>
        <c:gapWidth val="219"/>
        <c:overlap val="-27"/>
        <c:axId val="43340544"/>
        <c:axId val="43342080"/>
      </c:barChart>
      <c:catAx>
        <c:axId val="4334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3342080"/>
        <c:crosses val="autoZero"/>
        <c:auto val="1"/>
        <c:lblAlgn val="ctr"/>
        <c:lblOffset val="100"/>
        <c:noMultiLvlLbl val="0"/>
      </c:catAx>
      <c:valAx>
        <c:axId val="43342080"/>
        <c:scaling>
          <c:orientation val="minMax"/>
          <c:max val="7"/>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43340544"/>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i="0" baseline="0">
                <a:latin typeface="+mn-lt"/>
              </a:defRPr>
            </a:pPr>
            <a:r>
              <a:rPr lang="en-US" sz="2400" b="1" i="0" baseline="0" dirty="0" smtClean="0">
                <a:latin typeface="+mn-lt"/>
              </a:rPr>
              <a:t> </a:t>
            </a:r>
            <a:r>
              <a:rPr lang="en-US" sz="1200" b="1" i="0" baseline="0" dirty="0" smtClean="0">
                <a:latin typeface="Verdana" panose="020B0604030504040204" pitchFamily="34" charset="0"/>
                <a:ea typeface="Verdana" panose="020B0604030504040204" pitchFamily="34" charset="0"/>
                <a:cs typeface="Verdana" panose="020B0604030504040204" pitchFamily="34" charset="0"/>
              </a:rPr>
              <a:t>Incident Trends</a:t>
            </a:r>
          </a:p>
          <a:p>
            <a:pPr>
              <a:defRPr sz="1600" b="1" i="0" baseline="0">
                <a:latin typeface="+mn-lt"/>
              </a:defRPr>
            </a:pPr>
            <a:r>
              <a:rPr lang="en-US" sz="1200" b="1" i="0" baseline="0" dirty="0" smtClean="0">
                <a:latin typeface="Verdana" panose="020B0604030504040204" pitchFamily="34" charset="0"/>
                <a:ea typeface="Verdana" panose="020B0604030504040204" pitchFamily="34" charset="0"/>
                <a:cs typeface="Verdana" panose="020B0604030504040204" pitchFamily="34" charset="0"/>
              </a:rPr>
              <a:t>2016 – 2018</a:t>
            </a:r>
          </a:p>
        </c:rich>
      </c:tx>
      <c:layout>
        <c:manualLayout>
          <c:xMode val="edge"/>
          <c:yMode val="edge"/>
          <c:x val="0.38514965234608833"/>
          <c:y val="3.7499999999999999E-2"/>
        </c:manualLayout>
      </c:layout>
      <c:overlay val="0"/>
    </c:title>
    <c:autoTitleDeleted val="0"/>
    <c:plotArea>
      <c:layout>
        <c:manualLayout>
          <c:layoutTarget val="inner"/>
          <c:xMode val="edge"/>
          <c:yMode val="edge"/>
          <c:x val="7.5533253258596916E-2"/>
          <c:y val="0.28118623962040334"/>
          <c:w val="0.89282832866230699"/>
          <c:h val="0.53179962824931581"/>
        </c:manualLayout>
      </c:layout>
      <c:barChart>
        <c:barDir val="col"/>
        <c:grouping val="clustered"/>
        <c:varyColors val="0"/>
        <c:ser>
          <c:idx val="0"/>
          <c:order val="0"/>
          <c:tx>
            <c:strRef>
              <c:f>Sheet1!$B$1</c:f>
              <c:strCache>
                <c:ptCount val="1"/>
                <c:pt idx="0">
                  <c:v>Series 1</c:v>
                </c:pt>
              </c:strCache>
            </c:strRef>
          </c:tx>
          <c:spPr>
            <a:solidFill>
              <a:srgbClr val="006699"/>
            </a:solidFill>
          </c:spPr>
          <c:invertIfNegative val="0"/>
          <c:trendline>
            <c:trendlineType val="linear"/>
            <c:dispRSqr val="0"/>
            <c:dispEq val="0"/>
          </c:trendline>
          <c:cat>
            <c:strRef>
              <c:f>Sheet1!$A$2:$A$13</c:f>
              <c:strCache>
                <c:ptCount val="12"/>
                <c:pt idx="0">
                  <c:v>2016 Q1</c:v>
                </c:pt>
                <c:pt idx="1">
                  <c:v>2016 Q2</c:v>
                </c:pt>
                <c:pt idx="2">
                  <c:v>2016 Q3</c:v>
                </c:pt>
                <c:pt idx="3">
                  <c:v>2016 Q4</c:v>
                </c:pt>
                <c:pt idx="4">
                  <c:v>2017 Q1</c:v>
                </c:pt>
                <c:pt idx="5">
                  <c:v>2017 Q2</c:v>
                </c:pt>
                <c:pt idx="6">
                  <c:v>2017 Q3</c:v>
                </c:pt>
                <c:pt idx="7">
                  <c:v>2017 Q4</c:v>
                </c:pt>
                <c:pt idx="8">
                  <c:v>2018 Q1</c:v>
                </c:pt>
                <c:pt idx="9">
                  <c:v>2018 Q2</c:v>
                </c:pt>
                <c:pt idx="10">
                  <c:v>2018 Q3</c:v>
                </c:pt>
                <c:pt idx="11">
                  <c:v>2018 Q4</c:v>
                </c:pt>
              </c:strCache>
            </c:strRef>
          </c:cat>
          <c:val>
            <c:numRef>
              <c:f>Sheet1!$B$2:$B$13</c:f>
              <c:numCache>
                <c:formatCode>General</c:formatCode>
                <c:ptCount val="12"/>
                <c:pt idx="0">
                  <c:v>45</c:v>
                </c:pt>
                <c:pt idx="1">
                  <c:v>120</c:v>
                </c:pt>
                <c:pt idx="2">
                  <c:v>59</c:v>
                </c:pt>
                <c:pt idx="3">
                  <c:v>96</c:v>
                </c:pt>
                <c:pt idx="4">
                  <c:v>80</c:v>
                </c:pt>
                <c:pt idx="5">
                  <c:v>82</c:v>
                </c:pt>
                <c:pt idx="6">
                  <c:v>67</c:v>
                </c:pt>
                <c:pt idx="7">
                  <c:v>94</c:v>
                </c:pt>
                <c:pt idx="8">
                  <c:v>47</c:v>
                </c:pt>
                <c:pt idx="9">
                  <c:v>28</c:v>
                </c:pt>
                <c:pt idx="10">
                  <c:v>37</c:v>
                </c:pt>
                <c:pt idx="11">
                  <c:v>39</c:v>
                </c:pt>
              </c:numCache>
            </c:numRef>
          </c:val>
          <c:extLst xmlns:c16r2="http://schemas.microsoft.com/office/drawing/2015/06/chart">
            <c:ext xmlns:c16="http://schemas.microsoft.com/office/drawing/2014/chart" uri="{C3380CC4-5D6E-409C-BE32-E72D297353CC}">
              <c16:uniqueId val="{00000000-E66F-4068-B920-C1BAE613D600}"/>
            </c:ext>
          </c:extLst>
        </c:ser>
        <c:dLbls>
          <c:showLegendKey val="0"/>
          <c:showVal val="0"/>
          <c:showCatName val="0"/>
          <c:showSerName val="0"/>
          <c:showPercent val="0"/>
          <c:showBubbleSize val="0"/>
        </c:dLbls>
        <c:gapWidth val="150"/>
        <c:axId val="115534464"/>
        <c:axId val="115868032"/>
      </c:barChart>
      <c:catAx>
        <c:axId val="115534464"/>
        <c:scaling>
          <c:orientation val="minMax"/>
        </c:scaling>
        <c:delete val="0"/>
        <c:axPos val="b"/>
        <c:numFmt formatCode="General" sourceLinked="0"/>
        <c:majorTickMark val="out"/>
        <c:minorTickMark val="none"/>
        <c:tickLblPos val="nextTo"/>
        <c:spPr>
          <a:ln>
            <a:solidFill>
              <a:srgbClr val="0070C0"/>
            </a:solidFill>
          </a:ln>
        </c:spPr>
        <c:txPr>
          <a:bodyPr/>
          <a:lstStyle/>
          <a:p>
            <a:pPr>
              <a:defRPr sz="900" baseline="0">
                <a:latin typeface="Verdana" panose="020B0604030504040204" pitchFamily="34" charset="0"/>
                <a:ea typeface="Verdana" panose="020B0604030504040204" pitchFamily="34" charset="0"/>
                <a:cs typeface="Verdana" panose="020B0604030504040204" pitchFamily="34" charset="0"/>
              </a:defRPr>
            </a:pPr>
            <a:endParaRPr lang="en-US"/>
          </a:p>
        </c:txPr>
        <c:crossAx val="115868032"/>
        <c:crosses val="autoZero"/>
        <c:auto val="1"/>
        <c:lblAlgn val="ctr"/>
        <c:lblOffset val="100"/>
        <c:noMultiLvlLbl val="0"/>
      </c:catAx>
      <c:valAx>
        <c:axId val="115868032"/>
        <c:scaling>
          <c:orientation val="minMax"/>
        </c:scaling>
        <c:delete val="0"/>
        <c:axPos val="l"/>
        <c:numFmt formatCode="General" sourceLinked="1"/>
        <c:majorTickMark val="out"/>
        <c:minorTickMark val="none"/>
        <c:tickLblPos val="nextTo"/>
        <c:txPr>
          <a:bodyPr/>
          <a:lstStyle/>
          <a:p>
            <a:pPr>
              <a:defRPr sz="1050" baseline="0">
                <a:latin typeface="Verdana" panose="020B0604030504040204" pitchFamily="34" charset="0"/>
                <a:ea typeface="Verdana" panose="020B0604030504040204" pitchFamily="34" charset="0"/>
                <a:cs typeface="Verdana" panose="020B0604030504040204" pitchFamily="34" charset="0"/>
              </a:defRPr>
            </a:pPr>
            <a:endParaRPr lang="en-US"/>
          </a:p>
        </c:txPr>
        <c:crossAx val="115534464"/>
        <c:crosses val="autoZero"/>
        <c:crossBetween val="between"/>
      </c:valAx>
    </c:plotArea>
    <c:plotVisOnly val="1"/>
    <c:dispBlanksAs val="gap"/>
    <c:showDLblsOverMax val="0"/>
  </c:chart>
  <c:spPr>
    <a:ln>
      <a:noFill/>
    </a:ln>
  </c:spPr>
  <c:txPr>
    <a:bodyPr/>
    <a:lstStyle/>
    <a:p>
      <a:pPr>
        <a:defRPr sz="1800"/>
      </a:pPr>
      <a:endParaRPr lang="en-US"/>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sz="1200"/>
              <a:t>Protect</a:t>
            </a:r>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cat>
            <c:strRef>
              <c:f>'NCSR Charts'!$D$102:$J$102</c:f>
              <c:strCache>
                <c:ptCount val="7"/>
                <c:pt idx="0">
                  <c:v>Average-PR</c:v>
                </c:pt>
                <c:pt idx="1">
                  <c:v>Average-PR-AC</c:v>
                </c:pt>
                <c:pt idx="2">
                  <c:v>Average-PR-AT</c:v>
                </c:pt>
                <c:pt idx="3">
                  <c:v>Average-PR-DS</c:v>
                </c:pt>
                <c:pt idx="4">
                  <c:v>Average-PR-IP</c:v>
                </c:pt>
                <c:pt idx="5">
                  <c:v>Average-PR-MA</c:v>
                </c:pt>
                <c:pt idx="6">
                  <c:v>Average-PR-PT</c:v>
                </c:pt>
              </c:strCache>
            </c:strRef>
          </c:cat>
          <c:val>
            <c:numRef>
              <c:f>'NCSR Charts'!$D$103:$J$103</c:f>
              <c:numCache>
                <c:formatCode>General</c:formatCode>
                <c:ptCount val="7"/>
                <c:pt idx="0">
                  <c:v>4.4881818200000003</c:v>
                </c:pt>
                <c:pt idx="1">
                  <c:v>4.8103896099999996</c:v>
                </c:pt>
                <c:pt idx="2">
                  <c:v>4.555844156</c:v>
                </c:pt>
                <c:pt idx="3">
                  <c:v>4.4562337660000004</c:v>
                </c:pt>
                <c:pt idx="4">
                  <c:v>4.2997402600000001</c:v>
                </c:pt>
                <c:pt idx="5">
                  <c:v>4.506493506</c:v>
                </c:pt>
                <c:pt idx="6">
                  <c:v>4.3012987010000003</c:v>
                </c:pt>
              </c:numCache>
            </c:numRef>
          </c:val>
          <c:extLst xmlns:c16r2="http://schemas.microsoft.com/office/drawing/2015/06/chart">
            <c:ext xmlns:c16="http://schemas.microsoft.com/office/drawing/2014/chart" uri="{C3380CC4-5D6E-409C-BE32-E72D297353CC}">
              <c16:uniqueId val="{00000000-D72B-4052-B616-E6C06EA5B716}"/>
            </c:ext>
          </c:extLst>
        </c:ser>
        <c:dLbls>
          <c:showLegendKey val="0"/>
          <c:showVal val="0"/>
          <c:showCatName val="0"/>
          <c:showSerName val="0"/>
          <c:showPercent val="0"/>
          <c:showBubbleSize val="0"/>
        </c:dLbls>
        <c:gapWidth val="150"/>
        <c:overlap val="100"/>
        <c:axId val="43366656"/>
        <c:axId val="43368448"/>
      </c:barChart>
      <c:catAx>
        <c:axId val="4336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3368448"/>
        <c:crosses val="autoZero"/>
        <c:auto val="1"/>
        <c:lblAlgn val="ctr"/>
        <c:lblOffset val="100"/>
        <c:noMultiLvlLbl val="0"/>
      </c:catAx>
      <c:valAx>
        <c:axId val="43368448"/>
        <c:scaling>
          <c:orientation val="minMax"/>
          <c:max val="7"/>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43366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sz="1200"/>
              <a:t>Detect</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'NCSR Charts'!$L$81:$O$81</c:f>
              <c:strCache>
                <c:ptCount val="4"/>
                <c:pt idx="0">
                  <c:v>Average-DE</c:v>
                </c:pt>
                <c:pt idx="1">
                  <c:v>Average-DE-AE</c:v>
                </c:pt>
                <c:pt idx="2">
                  <c:v>Average-DE-CM</c:v>
                </c:pt>
                <c:pt idx="3">
                  <c:v>Average-DE-DP</c:v>
                </c:pt>
              </c:strCache>
            </c:strRef>
          </c:cat>
          <c:val>
            <c:numRef>
              <c:f>'NCSR Charts'!$L$82:$O$82</c:f>
              <c:numCache>
                <c:formatCode>General</c:formatCode>
                <c:ptCount val="4"/>
                <c:pt idx="0">
                  <c:v>4.401948</c:v>
                </c:pt>
                <c:pt idx="1">
                  <c:v>4.324675</c:v>
                </c:pt>
                <c:pt idx="2">
                  <c:v>4.4857139999999998</c:v>
                </c:pt>
                <c:pt idx="3">
                  <c:v>4.3948049999999999</c:v>
                </c:pt>
              </c:numCache>
            </c:numRef>
          </c:val>
          <c:extLst xmlns:c16r2="http://schemas.microsoft.com/office/drawing/2015/06/chart">
            <c:ext xmlns:c16="http://schemas.microsoft.com/office/drawing/2014/chart" uri="{C3380CC4-5D6E-409C-BE32-E72D297353CC}">
              <c16:uniqueId val="{00000000-37E9-4656-8002-7671E7258160}"/>
            </c:ext>
          </c:extLst>
        </c:ser>
        <c:dLbls>
          <c:showLegendKey val="0"/>
          <c:showVal val="0"/>
          <c:showCatName val="0"/>
          <c:showSerName val="0"/>
          <c:showPercent val="0"/>
          <c:showBubbleSize val="0"/>
        </c:dLbls>
        <c:gapWidth val="219"/>
        <c:overlap val="-27"/>
        <c:axId val="43421696"/>
        <c:axId val="43423232"/>
      </c:barChart>
      <c:catAx>
        <c:axId val="4342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800000" vert="horz"/>
          <a:lstStyle/>
          <a:p>
            <a:pPr>
              <a:defRPr/>
            </a:pPr>
            <a:endParaRPr lang="en-US"/>
          </a:p>
        </c:txPr>
        <c:crossAx val="43423232"/>
        <c:crosses val="autoZero"/>
        <c:auto val="1"/>
        <c:lblAlgn val="ctr"/>
        <c:lblOffset val="100"/>
        <c:noMultiLvlLbl val="0"/>
      </c:catAx>
      <c:valAx>
        <c:axId val="43423232"/>
        <c:scaling>
          <c:orientation val="minMax"/>
          <c:max val="7"/>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434216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sz="1200"/>
              <a:t>Respond</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'NCSR Charts'!$D$122:$I$122</c:f>
              <c:strCache>
                <c:ptCount val="6"/>
                <c:pt idx="0">
                  <c:v>Average-RS</c:v>
                </c:pt>
                <c:pt idx="1">
                  <c:v>Average-RS-AN</c:v>
                </c:pt>
                <c:pt idx="2">
                  <c:v>Average-RS-CO</c:v>
                </c:pt>
                <c:pt idx="3">
                  <c:v>Average-RS-IM</c:v>
                </c:pt>
                <c:pt idx="4">
                  <c:v>Average-RS-MI</c:v>
                </c:pt>
                <c:pt idx="5">
                  <c:v>Average-RS-RP</c:v>
                </c:pt>
              </c:strCache>
            </c:strRef>
          </c:cat>
          <c:val>
            <c:numRef>
              <c:f>'NCSR Charts'!$D$123:$I$123</c:f>
              <c:numCache>
                <c:formatCode>General</c:formatCode>
                <c:ptCount val="6"/>
                <c:pt idx="0">
                  <c:v>4.1390909999999996</c:v>
                </c:pt>
                <c:pt idx="1">
                  <c:v>4.2155839999999998</c:v>
                </c:pt>
                <c:pt idx="2">
                  <c:v>4.0831169999999997</c:v>
                </c:pt>
                <c:pt idx="3">
                  <c:v>3.831169</c:v>
                </c:pt>
                <c:pt idx="4">
                  <c:v>4.3206490000000004</c:v>
                </c:pt>
                <c:pt idx="5">
                  <c:v>4.246753</c:v>
                </c:pt>
              </c:numCache>
            </c:numRef>
          </c:val>
          <c:extLst xmlns:c16r2="http://schemas.microsoft.com/office/drawing/2015/06/chart">
            <c:ext xmlns:c16="http://schemas.microsoft.com/office/drawing/2014/chart" uri="{C3380CC4-5D6E-409C-BE32-E72D297353CC}">
              <c16:uniqueId val="{00000000-8B2F-4156-A732-5F1413C1E6A5}"/>
            </c:ext>
          </c:extLst>
        </c:ser>
        <c:dLbls>
          <c:showLegendKey val="0"/>
          <c:showVal val="0"/>
          <c:showCatName val="0"/>
          <c:showSerName val="0"/>
          <c:showPercent val="0"/>
          <c:showBubbleSize val="0"/>
        </c:dLbls>
        <c:gapWidth val="219"/>
        <c:overlap val="-27"/>
        <c:axId val="43439616"/>
        <c:axId val="43441152"/>
      </c:barChart>
      <c:catAx>
        <c:axId val="4343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3441152"/>
        <c:crosses val="autoZero"/>
        <c:auto val="1"/>
        <c:lblAlgn val="ctr"/>
        <c:lblOffset val="100"/>
        <c:noMultiLvlLbl val="0"/>
      </c:catAx>
      <c:valAx>
        <c:axId val="43441152"/>
        <c:scaling>
          <c:orientation val="minMax"/>
          <c:max val="7"/>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434396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sz="1200"/>
              <a:t>Recover</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'NCSR Charts'!$L$100:$O$100</c:f>
              <c:strCache>
                <c:ptCount val="4"/>
                <c:pt idx="0">
                  <c:v>Average-RC</c:v>
                </c:pt>
                <c:pt idx="1">
                  <c:v>Average-RC-CO</c:v>
                </c:pt>
                <c:pt idx="2">
                  <c:v>Average-RC-IM</c:v>
                </c:pt>
                <c:pt idx="3">
                  <c:v>Average-RC-RP</c:v>
                </c:pt>
              </c:strCache>
            </c:strRef>
          </c:cat>
          <c:val>
            <c:numRef>
              <c:f>'NCSR Charts'!$L$101:$O$101</c:f>
              <c:numCache>
                <c:formatCode>General</c:formatCode>
                <c:ptCount val="4"/>
                <c:pt idx="0">
                  <c:v>4.0685710000000004</c:v>
                </c:pt>
                <c:pt idx="1">
                  <c:v>4.0957140000000001</c:v>
                </c:pt>
                <c:pt idx="2">
                  <c:v>3.9025970000000001</c:v>
                </c:pt>
                <c:pt idx="3">
                  <c:v>4.2077920000000004</c:v>
                </c:pt>
              </c:numCache>
            </c:numRef>
          </c:val>
          <c:extLst xmlns:c16r2="http://schemas.microsoft.com/office/drawing/2015/06/chart">
            <c:ext xmlns:c16="http://schemas.microsoft.com/office/drawing/2014/chart" uri="{C3380CC4-5D6E-409C-BE32-E72D297353CC}">
              <c16:uniqueId val="{00000000-0607-4E93-B8E4-885D5EFB8477}"/>
            </c:ext>
          </c:extLst>
        </c:ser>
        <c:dLbls>
          <c:showLegendKey val="0"/>
          <c:showVal val="0"/>
          <c:showCatName val="0"/>
          <c:showSerName val="0"/>
          <c:showPercent val="0"/>
          <c:showBubbleSize val="0"/>
        </c:dLbls>
        <c:gapWidth val="219"/>
        <c:overlap val="-27"/>
        <c:axId val="43465728"/>
        <c:axId val="43467520"/>
      </c:barChart>
      <c:catAx>
        <c:axId val="4346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800000" vert="horz"/>
          <a:lstStyle/>
          <a:p>
            <a:pPr>
              <a:defRPr/>
            </a:pPr>
            <a:endParaRPr lang="en-US"/>
          </a:p>
        </c:txPr>
        <c:crossAx val="43467520"/>
        <c:crosses val="autoZero"/>
        <c:auto val="1"/>
        <c:lblAlgn val="ctr"/>
        <c:lblOffset val="100"/>
        <c:noMultiLvlLbl val="0"/>
      </c:catAx>
      <c:valAx>
        <c:axId val="43467520"/>
        <c:scaling>
          <c:orientation val="minMax"/>
          <c:max val="7"/>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434657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047293867027685E-2"/>
          <c:y val="0.15475981033705938"/>
          <c:w val="0.94295270613297233"/>
          <c:h val="0.61197956522464669"/>
        </c:manualLayout>
      </c:layout>
      <c:lineChart>
        <c:grouping val="standard"/>
        <c:varyColors val="0"/>
        <c:ser>
          <c:idx val="0"/>
          <c:order val="0"/>
          <c:tx>
            <c:strRef>
              <c:f>Sheet1!$B$1</c:f>
              <c:strCache>
                <c:ptCount val="1"/>
                <c:pt idx="0">
                  <c:v>Number of Events</c:v>
                </c:pt>
              </c:strCache>
            </c:strRef>
          </c:tx>
          <c:spPr>
            <a:ln>
              <a:solidFill>
                <a:srgbClr val="0000FF"/>
              </a:solidFill>
            </a:ln>
          </c:spPr>
          <c:cat>
            <c:numRef>
              <c:f>Sheet1!$A$2:$A$37</c:f>
              <c:numCache>
                <c:formatCode>[$-409]mmm\-yy;@</c:formatCode>
                <c:ptCount val="36"/>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pt idx="12">
                  <c:v>42736</c:v>
                </c:pt>
                <c:pt idx="13">
                  <c:v>42767</c:v>
                </c:pt>
                <c:pt idx="14">
                  <c:v>42795</c:v>
                </c:pt>
                <c:pt idx="15">
                  <c:v>42826</c:v>
                </c:pt>
                <c:pt idx="16">
                  <c:v>42856</c:v>
                </c:pt>
                <c:pt idx="17">
                  <c:v>42887</c:v>
                </c:pt>
                <c:pt idx="18">
                  <c:v>42917</c:v>
                </c:pt>
                <c:pt idx="19">
                  <c:v>42948</c:v>
                </c:pt>
                <c:pt idx="20">
                  <c:v>42979</c:v>
                </c:pt>
                <c:pt idx="21">
                  <c:v>43009</c:v>
                </c:pt>
                <c:pt idx="22">
                  <c:v>43040</c:v>
                </c:pt>
                <c:pt idx="23">
                  <c:v>43070</c:v>
                </c:pt>
                <c:pt idx="24">
                  <c:v>43101</c:v>
                </c:pt>
                <c:pt idx="25">
                  <c:v>43132</c:v>
                </c:pt>
                <c:pt idx="26">
                  <c:v>43160</c:v>
                </c:pt>
                <c:pt idx="27">
                  <c:v>43191</c:v>
                </c:pt>
                <c:pt idx="28">
                  <c:v>43221</c:v>
                </c:pt>
                <c:pt idx="29">
                  <c:v>43252</c:v>
                </c:pt>
                <c:pt idx="30">
                  <c:v>43282</c:v>
                </c:pt>
                <c:pt idx="31">
                  <c:v>43313</c:v>
                </c:pt>
                <c:pt idx="32">
                  <c:v>43344</c:v>
                </c:pt>
                <c:pt idx="33">
                  <c:v>43374</c:v>
                </c:pt>
                <c:pt idx="34">
                  <c:v>43405</c:v>
                </c:pt>
                <c:pt idx="35">
                  <c:v>43435</c:v>
                </c:pt>
              </c:numCache>
            </c:numRef>
          </c:cat>
          <c:val>
            <c:numRef>
              <c:f>Sheet1!$B$2:$B$37</c:f>
              <c:numCache>
                <c:formatCode>#,##0</c:formatCode>
                <c:ptCount val="36"/>
                <c:pt idx="0">
                  <c:v>11859021</c:v>
                </c:pt>
                <c:pt idx="1">
                  <c:v>9249733</c:v>
                </c:pt>
                <c:pt idx="2">
                  <c:v>11589515</c:v>
                </c:pt>
                <c:pt idx="3">
                  <c:v>9715100</c:v>
                </c:pt>
                <c:pt idx="4">
                  <c:v>11104532</c:v>
                </c:pt>
                <c:pt idx="5">
                  <c:v>5760791</c:v>
                </c:pt>
                <c:pt idx="6">
                  <c:v>7056081</c:v>
                </c:pt>
                <c:pt idx="7">
                  <c:v>2724247</c:v>
                </c:pt>
                <c:pt idx="8">
                  <c:v>1802606</c:v>
                </c:pt>
                <c:pt idx="9">
                  <c:v>6234811</c:v>
                </c:pt>
                <c:pt idx="10">
                  <c:v>4000322</c:v>
                </c:pt>
                <c:pt idx="11">
                  <c:v>5113404</c:v>
                </c:pt>
                <c:pt idx="12">
                  <c:v>5270381</c:v>
                </c:pt>
                <c:pt idx="13">
                  <c:v>4000989</c:v>
                </c:pt>
                <c:pt idx="14">
                  <c:v>4163280</c:v>
                </c:pt>
                <c:pt idx="15">
                  <c:v>5050603</c:v>
                </c:pt>
                <c:pt idx="16">
                  <c:v>3089360</c:v>
                </c:pt>
                <c:pt idx="17">
                  <c:v>1881866</c:v>
                </c:pt>
                <c:pt idx="18">
                  <c:v>2037946</c:v>
                </c:pt>
                <c:pt idx="19">
                  <c:v>5043741</c:v>
                </c:pt>
                <c:pt idx="20">
                  <c:v>2149728</c:v>
                </c:pt>
                <c:pt idx="21">
                  <c:v>2824187</c:v>
                </c:pt>
                <c:pt idx="22">
                  <c:v>2987548</c:v>
                </c:pt>
                <c:pt idx="23">
                  <c:v>2987548</c:v>
                </c:pt>
                <c:pt idx="24">
                  <c:v>4482280</c:v>
                </c:pt>
                <c:pt idx="25">
                  <c:v>3569854</c:v>
                </c:pt>
                <c:pt idx="26">
                  <c:v>2508561</c:v>
                </c:pt>
                <c:pt idx="27">
                  <c:v>1768277</c:v>
                </c:pt>
                <c:pt idx="28">
                  <c:v>1584576</c:v>
                </c:pt>
                <c:pt idx="29">
                  <c:v>2304263</c:v>
                </c:pt>
                <c:pt idx="30">
                  <c:v>2304263</c:v>
                </c:pt>
                <c:pt idx="31">
                  <c:v>2222866</c:v>
                </c:pt>
                <c:pt idx="32">
                  <c:v>3350142</c:v>
                </c:pt>
                <c:pt idx="33">
                  <c:v>2911396</c:v>
                </c:pt>
                <c:pt idx="34">
                  <c:v>3350142</c:v>
                </c:pt>
                <c:pt idx="35">
                  <c:v>3503902</c:v>
                </c:pt>
              </c:numCache>
            </c:numRef>
          </c:val>
          <c:smooth val="0"/>
          <c:extLst xmlns:c16r2="http://schemas.microsoft.com/office/drawing/2015/06/chart">
            <c:ext xmlns:c16="http://schemas.microsoft.com/office/drawing/2014/chart" uri="{C3380CC4-5D6E-409C-BE32-E72D297353CC}">
              <c16:uniqueId val="{00000000-0519-4BF3-88EC-C837E02514D0}"/>
            </c:ext>
          </c:extLst>
        </c:ser>
        <c:dLbls>
          <c:showLegendKey val="0"/>
          <c:showVal val="0"/>
          <c:showCatName val="0"/>
          <c:showSerName val="0"/>
          <c:showPercent val="0"/>
          <c:showBubbleSize val="0"/>
        </c:dLbls>
        <c:marker val="1"/>
        <c:smooth val="0"/>
        <c:axId val="115917184"/>
        <c:axId val="115918720"/>
      </c:lineChart>
      <c:dateAx>
        <c:axId val="115917184"/>
        <c:scaling>
          <c:orientation val="minMax"/>
        </c:scaling>
        <c:delete val="0"/>
        <c:axPos val="b"/>
        <c:numFmt formatCode="[$-409]mmm\-yy;@" sourceLinked="1"/>
        <c:majorTickMark val="none"/>
        <c:minorTickMark val="none"/>
        <c:tickLblPos val="nextTo"/>
        <c:spPr>
          <a:ln w="6350"/>
        </c:spPr>
        <c:txPr>
          <a:bodyPr rot="-5400000" vert="horz" anchor="b" anchorCtr="1"/>
          <a:lstStyle/>
          <a:p>
            <a:pPr>
              <a:defRPr sz="800" baseline="0">
                <a:latin typeface="Verdana" pitchFamily="34" charset="0"/>
              </a:defRPr>
            </a:pPr>
            <a:endParaRPr lang="en-US"/>
          </a:p>
        </c:txPr>
        <c:crossAx val="115918720"/>
        <c:crosses val="autoZero"/>
        <c:auto val="1"/>
        <c:lblOffset val="125"/>
        <c:baseTimeUnit val="months"/>
      </c:dateAx>
      <c:valAx>
        <c:axId val="115918720"/>
        <c:scaling>
          <c:orientation val="minMax"/>
        </c:scaling>
        <c:delete val="0"/>
        <c:axPos val="l"/>
        <c:numFmt formatCode="#,##0" sourceLinked="0"/>
        <c:majorTickMark val="none"/>
        <c:minorTickMark val="none"/>
        <c:tickLblPos val="nextTo"/>
        <c:txPr>
          <a:bodyPr/>
          <a:lstStyle/>
          <a:p>
            <a:pPr>
              <a:defRPr sz="800" baseline="0">
                <a:latin typeface="Verdana" pitchFamily="34" charset="0"/>
              </a:defRPr>
            </a:pPr>
            <a:endParaRPr lang="en-US"/>
          </a:p>
        </c:txPr>
        <c:crossAx val="115917184"/>
        <c:crosses val="autoZero"/>
        <c:crossBetween val="between"/>
        <c:dispUnits>
          <c:builtInUnit val="millions"/>
          <c:dispUnitsLbl>
            <c:layout>
              <c:manualLayout>
                <c:xMode val="edge"/>
                <c:yMode val="edge"/>
                <c:x val="0"/>
                <c:y val="0.35652311979521439"/>
              </c:manualLayout>
            </c:layout>
            <c:txPr>
              <a:bodyPr/>
              <a:lstStyle/>
              <a:p>
                <a:pPr>
                  <a:defRPr sz="1000">
                    <a:latin typeface="Verdana" pitchFamily="34" charset="0"/>
                    <a:ea typeface="Verdana" pitchFamily="34" charset="0"/>
                    <a:cs typeface="Verdana" pitchFamily="34" charset="0"/>
                  </a:defRPr>
                </a:pPr>
                <a:endParaRPr lang="en-US"/>
              </a:p>
            </c:txPr>
          </c:dispUnitsLbl>
        </c:dispUnits>
      </c:valAx>
      <c:spPr>
        <a:noFill/>
        <a:ln w="25400">
          <a:noFill/>
        </a:ln>
      </c:spPr>
    </c:plotArea>
    <c:plotVisOnly val="1"/>
    <c:dispBlanksAs val="gap"/>
    <c:showDLblsOverMax val="0"/>
  </c:chart>
  <c:spPr>
    <a:ln>
      <a:noFill/>
    </a:ln>
  </c:spPr>
  <c:txPr>
    <a:bodyPr/>
    <a:lstStyle/>
    <a:p>
      <a:pPr>
        <a:defRPr sz="1800"/>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latin typeface="Verdana" panose="020B0604030504040204" pitchFamily="34" charset="0"/>
                <a:ea typeface="Verdana" panose="020B0604030504040204" pitchFamily="34" charset="0"/>
                <a:cs typeface="Verdana" panose="020B0604030504040204" pitchFamily="34" charset="0"/>
              </a:rPr>
              <a:t>Incidents by Type</a:t>
            </a:r>
          </a:p>
        </c:rich>
      </c:tx>
      <c:layout/>
      <c:overlay val="0"/>
    </c:title>
    <c:autoTitleDeleted val="0"/>
    <c:plotArea>
      <c:layout/>
      <c:pieChart>
        <c:varyColors val="1"/>
        <c:ser>
          <c:idx val="0"/>
          <c:order val="0"/>
          <c:tx>
            <c:strRef>
              <c:f>Sheet1!$B$1</c:f>
              <c:strCache>
                <c:ptCount val="1"/>
                <c:pt idx="0">
                  <c:v>Percentage of Total Incidents</c:v>
                </c:pt>
              </c:strCache>
            </c:strRef>
          </c:tx>
          <c:dPt>
            <c:idx val="0"/>
            <c:bubble3D val="0"/>
            <c:spPr>
              <a:solidFill>
                <a:schemeClr val="accent4"/>
              </a:solidFill>
            </c:spPr>
            <c:extLst xmlns:c16r2="http://schemas.microsoft.com/office/drawing/2015/06/chart">
              <c:ext xmlns:c16="http://schemas.microsoft.com/office/drawing/2014/chart" uri="{C3380CC4-5D6E-409C-BE32-E72D297353CC}">
                <c16:uniqueId val="{00000001-3AB7-48D0-8C6A-CE91C5DA7B36}"/>
              </c:ext>
            </c:extLst>
          </c:dPt>
          <c:dPt>
            <c:idx val="1"/>
            <c:bubble3D val="0"/>
            <c:spPr>
              <a:solidFill>
                <a:srgbClr val="FFC000"/>
              </a:solidFill>
            </c:spPr>
            <c:extLst xmlns:c16r2="http://schemas.microsoft.com/office/drawing/2015/06/chart">
              <c:ext xmlns:c16="http://schemas.microsoft.com/office/drawing/2014/chart" uri="{C3380CC4-5D6E-409C-BE32-E72D297353CC}">
                <c16:uniqueId val="{00000003-3AB7-48D0-8C6A-CE91C5DA7B36}"/>
              </c:ext>
            </c:extLst>
          </c:dPt>
          <c:dPt>
            <c:idx val="2"/>
            <c:bubble3D val="0"/>
            <c:spPr>
              <a:solidFill>
                <a:srgbClr val="FF0000"/>
              </a:solidFill>
            </c:spPr>
            <c:extLst xmlns:c16r2="http://schemas.microsoft.com/office/drawing/2015/06/chart">
              <c:ext xmlns:c16="http://schemas.microsoft.com/office/drawing/2014/chart" uri="{C3380CC4-5D6E-409C-BE32-E72D297353CC}">
                <c16:uniqueId val="{00000005-3AB7-48D0-8C6A-CE91C5DA7B36}"/>
              </c:ext>
            </c:extLst>
          </c:dPt>
          <c:dPt>
            <c:idx val="3"/>
            <c:bubble3D val="0"/>
            <c:spPr>
              <a:solidFill>
                <a:srgbClr val="0070C0"/>
              </a:solidFill>
            </c:spPr>
            <c:extLst xmlns:c16r2="http://schemas.microsoft.com/office/drawing/2015/06/chart">
              <c:ext xmlns:c16="http://schemas.microsoft.com/office/drawing/2014/chart" uri="{C3380CC4-5D6E-409C-BE32-E72D297353CC}">
                <c16:uniqueId val="{00000007-3AB7-48D0-8C6A-CE91C5DA7B36}"/>
              </c:ext>
            </c:extLst>
          </c:dPt>
          <c:dPt>
            <c:idx val="4"/>
            <c:bubble3D val="0"/>
            <c:spPr>
              <a:solidFill>
                <a:srgbClr val="7030A0"/>
              </a:solidFill>
            </c:spPr>
            <c:extLst xmlns:c16r2="http://schemas.microsoft.com/office/drawing/2015/06/chart">
              <c:ext xmlns:c16="http://schemas.microsoft.com/office/drawing/2014/chart" uri="{C3380CC4-5D6E-409C-BE32-E72D297353CC}">
                <c16:uniqueId val="{00000009-3AB7-48D0-8C6A-CE91C5DA7B36}"/>
              </c:ext>
            </c:extLst>
          </c:dPt>
          <c:dPt>
            <c:idx val="5"/>
            <c:bubble3D val="0"/>
            <c:spPr>
              <a:solidFill>
                <a:srgbClr val="00FF00"/>
              </a:solidFill>
            </c:spPr>
            <c:extLst xmlns:c16r2="http://schemas.microsoft.com/office/drawing/2015/06/chart">
              <c:ext xmlns:c16="http://schemas.microsoft.com/office/drawing/2014/chart" uri="{C3380CC4-5D6E-409C-BE32-E72D297353CC}">
                <c16:uniqueId val="{0000000B-3AB7-48D0-8C6A-CE91C5DA7B36}"/>
              </c:ext>
            </c:extLst>
          </c:dPt>
          <c:dPt>
            <c:idx val="6"/>
            <c:bubble3D val="0"/>
            <c:spPr>
              <a:solidFill>
                <a:srgbClr val="6BB57D"/>
              </a:solidFill>
            </c:spPr>
            <c:extLst xmlns:c16r2="http://schemas.microsoft.com/office/drawing/2015/06/chart">
              <c:ext xmlns:c16="http://schemas.microsoft.com/office/drawing/2014/chart" uri="{C3380CC4-5D6E-409C-BE32-E72D297353CC}">
                <c16:uniqueId val="{0000000D-3AB7-48D0-8C6A-CE91C5DA7B36}"/>
              </c:ext>
            </c:extLst>
          </c:dPt>
          <c:dLbls>
            <c:spPr>
              <a:noFill/>
              <a:ln>
                <a:noFill/>
              </a:ln>
              <a:effectLst/>
            </c:spPr>
            <c:txPr>
              <a:bodyPr/>
              <a:lstStyle/>
              <a:p>
                <a:pPr>
                  <a:defRPr sz="800">
                    <a:latin typeface="Verdana" panose="020B0604030504040204" pitchFamily="34" charset="0"/>
                    <a:ea typeface="Verdana" panose="020B0604030504040204" pitchFamily="34" charset="0"/>
                    <a:cs typeface="Verdana" panose="020B0604030504040204" pitchFamily="34" charset="0"/>
                  </a:defRPr>
                </a:pPr>
                <a:endParaRPr lang="en-US"/>
              </a:p>
            </c:txPr>
            <c:dLblPos val="bestFit"/>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Sheet1!$A$2:$A$8</c:f>
              <c:strCache>
                <c:ptCount val="7"/>
                <c:pt idx="0">
                  <c:v>Denial of Service</c:v>
                </c:pt>
                <c:pt idx="1">
                  <c:v>Malware</c:v>
                </c:pt>
                <c:pt idx="2">
                  <c:v>Inappropriate Use</c:v>
                </c:pt>
                <c:pt idx="3">
                  <c:v>Social Engineering</c:v>
                </c:pt>
                <c:pt idx="4">
                  <c:v>Informatino Disclosure</c:v>
                </c:pt>
                <c:pt idx="5">
                  <c:v>Physical Loss</c:v>
                </c:pt>
                <c:pt idx="6">
                  <c:v>Unauthorized Access</c:v>
                </c:pt>
              </c:strCache>
            </c:strRef>
          </c:cat>
          <c:val>
            <c:numRef>
              <c:f>Sheet1!$B$2:$B$8</c:f>
              <c:numCache>
                <c:formatCode>0.00%</c:formatCode>
                <c:ptCount val="7"/>
                <c:pt idx="0">
                  <c:v>3.9699999999999999E-2</c:v>
                </c:pt>
                <c:pt idx="1">
                  <c:v>0.23180000000000001</c:v>
                </c:pt>
                <c:pt idx="2">
                  <c:v>1.9900000000000001E-2</c:v>
                </c:pt>
                <c:pt idx="3">
                  <c:v>2.6499999999999999E-2</c:v>
                </c:pt>
                <c:pt idx="4">
                  <c:v>0.29139999999999999</c:v>
                </c:pt>
                <c:pt idx="5">
                  <c:v>0.29139999999999999</c:v>
                </c:pt>
                <c:pt idx="6">
                  <c:v>9.9299999999999999E-2</c:v>
                </c:pt>
              </c:numCache>
            </c:numRef>
          </c:val>
          <c:extLst xmlns:c16r2="http://schemas.microsoft.com/office/drawing/2015/06/chart">
            <c:ext xmlns:c16="http://schemas.microsoft.com/office/drawing/2014/chart" uri="{C3380CC4-5D6E-409C-BE32-E72D297353CC}">
              <c16:uniqueId val="{0000000E-3AB7-48D0-8C6A-CE91C5DA7B36}"/>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a:lstStyle/>
    <a:p>
      <a:pPr>
        <a:defRPr sz="1800"/>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356551584898043E-2"/>
          <c:y val="8.74769712903289E-2"/>
          <c:w val="0.85094523029754021"/>
          <c:h val="0.7236039460584669"/>
        </c:manualLayout>
      </c:layout>
      <c:lineChart>
        <c:grouping val="standard"/>
        <c:varyColors val="0"/>
        <c:ser>
          <c:idx val="0"/>
          <c:order val="0"/>
          <c:tx>
            <c:strRef>
              <c:f>Sheet1!$B$1</c:f>
              <c:strCache>
                <c:ptCount val="1"/>
                <c:pt idx="0">
                  <c:v>2016</c:v>
                </c:pt>
              </c:strCache>
            </c:strRef>
          </c:tx>
          <c:spPr>
            <a:ln w="38100">
              <a:solidFill>
                <a:srgbClr val="0000FF"/>
              </a:solidFill>
            </a:ln>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#,##0</c:formatCode>
                <c:ptCount val="12"/>
                <c:pt idx="0">
                  <c:v>1767</c:v>
                </c:pt>
                <c:pt idx="1">
                  <c:v>3846</c:v>
                </c:pt>
                <c:pt idx="2">
                  <c:v>29174</c:v>
                </c:pt>
                <c:pt idx="3">
                  <c:v>3607</c:v>
                </c:pt>
                <c:pt idx="4">
                  <c:v>3793</c:v>
                </c:pt>
                <c:pt idx="5">
                  <c:v>3224</c:v>
                </c:pt>
                <c:pt idx="6">
                  <c:v>3118</c:v>
                </c:pt>
                <c:pt idx="7">
                  <c:v>3919</c:v>
                </c:pt>
                <c:pt idx="8">
                  <c:v>9283</c:v>
                </c:pt>
                <c:pt idx="9">
                  <c:v>24687</c:v>
                </c:pt>
                <c:pt idx="10">
                  <c:v>31668</c:v>
                </c:pt>
                <c:pt idx="11">
                  <c:v>26590</c:v>
                </c:pt>
              </c:numCache>
            </c:numRef>
          </c:val>
          <c:smooth val="0"/>
          <c:extLst xmlns:c16r2="http://schemas.microsoft.com/office/drawing/2015/06/chart">
            <c:ext xmlns:c16="http://schemas.microsoft.com/office/drawing/2014/chart" uri="{C3380CC4-5D6E-409C-BE32-E72D297353CC}">
              <c16:uniqueId val="{00000000-35DE-4FA0-8230-23D7B3514234}"/>
            </c:ext>
          </c:extLst>
        </c:ser>
        <c:ser>
          <c:idx val="1"/>
          <c:order val="1"/>
          <c:tx>
            <c:strRef>
              <c:f>Sheet1!$C$1</c:f>
              <c:strCache>
                <c:ptCount val="1"/>
                <c:pt idx="0">
                  <c:v>2017</c:v>
                </c:pt>
              </c:strCache>
            </c:strRef>
          </c:tx>
          <c:spPr>
            <a:ln w="38100">
              <a:solidFill>
                <a:srgbClr val="2EAA28"/>
              </a:solidFill>
            </a:ln>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#,##0</c:formatCode>
                <c:ptCount val="12"/>
                <c:pt idx="0">
                  <c:v>14596</c:v>
                </c:pt>
                <c:pt idx="1">
                  <c:v>14969</c:v>
                </c:pt>
                <c:pt idx="2">
                  <c:v>122893</c:v>
                </c:pt>
                <c:pt idx="3">
                  <c:v>48445</c:v>
                </c:pt>
                <c:pt idx="4">
                  <c:v>24862</c:v>
                </c:pt>
                <c:pt idx="5">
                  <c:v>47742</c:v>
                </c:pt>
                <c:pt idx="6">
                  <c:v>16315</c:v>
                </c:pt>
                <c:pt idx="7">
                  <c:v>32261</c:v>
                </c:pt>
                <c:pt idx="8">
                  <c:v>28918</c:v>
                </c:pt>
                <c:pt idx="9">
                  <c:v>154596</c:v>
                </c:pt>
                <c:pt idx="10">
                  <c:v>126192</c:v>
                </c:pt>
                <c:pt idx="11">
                  <c:v>149664</c:v>
                </c:pt>
              </c:numCache>
            </c:numRef>
          </c:val>
          <c:smooth val="0"/>
          <c:extLst xmlns:c16r2="http://schemas.microsoft.com/office/drawing/2015/06/chart">
            <c:ext xmlns:c16="http://schemas.microsoft.com/office/drawing/2014/chart" uri="{C3380CC4-5D6E-409C-BE32-E72D297353CC}">
              <c16:uniqueId val="{00000001-35DE-4FA0-8230-23D7B3514234}"/>
            </c:ext>
          </c:extLst>
        </c:ser>
        <c:ser>
          <c:idx val="2"/>
          <c:order val="2"/>
          <c:tx>
            <c:strRef>
              <c:f>Sheet1!$D$1</c:f>
              <c:strCache>
                <c:ptCount val="1"/>
                <c:pt idx="0">
                  <c:v>2018</c:v>
                </c:pt>
              </c:strCache>
            </c:strRef>
          </c:tx>
          <c:spPr>
            <a:ln w="38100">
              <a:solidFill>
                <a:srgbClr val="CA0D08"/>
              </a:solidFill>
            </a:ln>
          </c:spPr>
          <c:marker>
            <c:symbol val="none"/>
          </c:marker>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#,##0</c:formatCode>
                <c:ptCount val="12"/>
                <c:pt idx="0">
                  <c:v>80718</c:v>
                </c:pt>
                <c:pt idx="1">
                  <c:v>91241</c:v>
                </c:pt>
                <c:pt idx="2">
                  <c:v>195531</c:v>
                </c:pt>
                <c:pt idx="3">
                  <c:v>33621</c:v>
                </c:pt>
                <c:pt idx="4">
                  <c:v>9405</c:v>
                </c:pt>
                <c:pt idx="5">
                  <c:v>8187</c:v>
                </c:pt>
                <c:pt idx="6">
                  <c:v>7437</c:v>
                </c:pt>
                <c:pt idx="7">
                  <c:v>17938</c:v>
                </c:pt>
                <c:pt idx="8">
                  <c:v>9924</c:v>
                </c:pt>
                <c:pt idx="9">
                  <c:v>16708</c:v>
                </c:pt>
                <c:pt idx="10">
                  <c:v>7966</c:v>
                </c:pt>
                <c:pt idx="11">
                  <c:v>10433</c:v>
                </c:pt>
              </c:numCache>
            </c:numRef>
          </c:val>
          <c:smooth val="0"/>
          <c:extLst xmlns:c16r2="http://schemas.microsoft.com/office/drawing/2015/06/chart">
            <c:ext xmlns:c16="http://schemas.microsoft.com/office/drawing/2014/chart" uri="{C3380CC4-5D6E-409C-BE32-E72D297353CC}">
              <c16:uniqueId val="{00000002-35DE-4FA0-8230-23D7B3514234}"/>
            </c:ext>
          </c:extLst>
        </c:ser>
        <c:dLbls>
          <c:showLegendKey val="0"/>
          <c:showVal val="0"/>
          <c:showCatName val="0"/>
          <c:showSerName val="0"/>
          <c:showPercent val="0"/>
          <c:showBubbleSize val="0"/>
        </c:dLbls>
        <c:marker val="1"/>
        <c:smooth val="0"/>
        <c:axId val="42258432"/>
        <c:axId val="42259968"/>
      </c:lineChart>
      <c:catAx>
        <c:axId val="42258432"/>
        <c:scaling>
          <c:orientation val="minMax"/>
        </c:scaling>
        <c:delete val="0"/>
        <c:axPos val="b"/>
        <c:numFmt formatCode="General" sourceLinked="0"/>
        <c:majorTickMark val="out"/>
        <c:minorTickMark val="none"/>
        <c:tickLblPos val="nextTo"/>
        <c:crossAx val="42259968"/>
        <c:crosses val="autoZero"/>
        <c:auto val="1"/>
        <c:lblAlgn val="ctr"/>
        <c:lblOffset val="100"/>
        <c:noMultiLvlLbl val="0"/>
      </c:catAx>
      <c:valAx>
        <c:axId val="42259968"/>
        <c:scaling>
          <c:orientation val="minMax"/>
        </c:scaling>
        <c:delete val="0"/>
        <c:axPos val="l"/>
        <c:numFmt formatCode="#,##0" sourceLinked="1"/>
        <c:majorTickMark val="out"/>
        <c:minorTickMark val="none"/>
        <c:tickLblPos val="nextTo"/>
        <c:crossAx val="42258432"/>
        <c:crosses val="autoZero"/>
        <c:crossBetween val="between"/>
      </c:valAx>
      <c:spPr>
        <a:ln>
          <a:noFill/>
        </a:ln>
      </c:spPr>
    </c:plotArea>
    <c:legend>
      <c:legendPos val="b"/>
      <c:layout>
        <c:manualLayout>
          <c:xMode val="edge"/>
          <c:yMode val="edge"/>
          <c:x val="0.32969227404266777"/>
          <c:y val="0.89621233392337585"/>
          <c:w val="0.34061528366646476"/>
          <c:h val="7.2779914138639643E-2"/>
        </c:manualLayout>
      </c:layout>
      <c:overlay val="0"/>
      <c:spPr>
        <a:noFill/>
      </c:spPr>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latin typeface="Verdana" panose="020B0604030504040204" pitchFamily="34" charset="0"/>
                <a:ea typeface="Verdana" panose="020B0604030504040204" pitchFamily="34" charset="0"/>
                <a:cs typeface="Verdana" panose="020B0604030504040204" pitchFamily="34" charset="0"/>
              </a:rPr>
              <a:t>Vulnerablities by Month</a:t>
            </a:r>
          </a:p>
          <a:p>
            <a:pPr>
              <a:defRPr/>
            </a:pPr>
            <a:r>
              <a:rPr lang="en-US" sz="1000">
                <a:latin typeface="Verdana" panose="020B0604030504040204" pitchFamily="34" charset="0"/>
                <a:ea typeface="Verdana" panose="020B0604030504040204" pitchFamily="34" charset="0"/>
                <a:cs typeface="Verdana" panose="020B0604030504040204" pitchFamily="34" charset="0"/>
              </a:rPr>
              <a:t>2016-2018</a:t>
            </a:r>
          </a:p>
        </c:rich>
      </c:tx>
      <c:layout/>
      <c:overlay val="0"/>
    </c:title>
    <c:autoTitleDeleted val="0"/>
    <c:plotArea>
      <c:layout/>
      <c:barChart>
        <c:barDir val="col"/>
        <c:grouping val="clustered"/>
        <c:varyColors val="0"/>
        <c:ser>
          <c:idx val="0"/>
          <c:order val="0"/>
          <c:tx>
            <c:strRef>
              <c:f>Sheet1!$B$1</c:f>
              <c:strCache>
                <c:ptCount val="1"/>
                <c:pt idx="0">
                  <c:v>2016</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General</c:formatCode>
                <c:ptCount val="12"/>
                <c:pt idx="0">
                  <c:v>839</c:v>
                </c:pt>
                <c:pt idx="1">
                  <c:v>247</c:v>
                </c:pt>
                <c:pt idx="2">
                  <c:v>279</c:v>
                </c:pt>
                <c:pt idx="3">
                  <c:v>357</c:v>
                </c:pt>
                <c:pt idx="4">
                  <c:v>467</c:v>
                </c:pt>
                <c:pt idx="5">
                  <c:v>242</c:v>
                </c:pt>
                <c:pt idx="6">
                  <c:v>539</c:v>
                </c:pt>
                <c:pt idx="7">
                  <c:v>349</c:v>
                </c:pt>
                <c:pt idx="8">
                  <c:v>425</c:v>
                </c:pt>
                <c:pt idx="9">
                  <c:v>561</c:v>
                </c:pt>
                <c:pt idx="10">
                  <c:v>287</c:v>
                </c:pt>
                <c:pt idx="11">
                  <c:v>315</c:v>
                </c:pt>
              </c:numCache>
            </c:numRef>
          </c:val>
          <c:extLst xmlns:c16r2="http://schemas.microsoft.com/office/drawing/2015/06/chart">
            <c:ext xmlns:c16="http://schemas.microsoft.com/office/drawing/2014/chart" uri="{C3380CC4-5D6E-409C-BE32-E72D297353CC}">
              <c16:uniqueId val="{00000000-2130-4476-B466-D2746716B1CA}"/>
            </c:ext>
          </c:extLst>
        </c:ser>
        <c:ser>
          <c:idx val="1"/>
          <c:order val="1"/>
          <c:tx>
            <c:strRef>
              <c:f>Sheet1!$C$1</c:f>
              <c:strCache>
                <c:ptCount val="1"/>
                <c:pt idx="0">
                  <c:v>2017</c:v>
                </c:pt>
              </c:strCache>
            </c:strRef>
          </c:tx>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Sheet1!$C$2:$C$13</c:f>
              <c:numCache>
                <c:formatCode>General</c:formatCode>
                <c:ptCount val="12"/>
                <c:pt idx="0">
                  <c:v>482</c:v>
                </c:pt>
                <c:pt idx="1">
                  <c:v>296</c:v>
                </c:pt>
                <c:pt idx="2">
                  <c:v>432</c:v>
                </c:pt>
                <c:pt idx="3">
                  <c:v>590</c:v>
                </c:pt>
                <c:pt idx="4">
                  <c:v>416</c:v>
                </c:pt>
                <c:pt idx="5">
                  <c:v>472</c:v>
                </c:pt>
                <c:pt idx="6">
                  <c:v>633</c:v>
                </c:pt>
                <c:pt idx="7">
                  <c:v>390</c:v>
                </c:pt>
                <c:pt idx="8">
                  <c:v>320</c:v>
                </c:pt>
                <c:pt idx="9">
                  <c:v>603</c:v>
                </c:pt>
                <c:pt idx="10">
                  <c:v>441</c:v>
                </c:pt>
                <c:pt idx="11">
                  <c:v>270</c:v>
                </c:pt>
              </c:numCache>
            </c:numRef>
          </c:val>
          <c:extLst xmlns:c16r2="http://schemas.microsoft.com/office/drawing/2015/06/chart">
            <c:ext xmlns:c16="http://schemas.microsoft.com/office/drawing/2014/chart" uri="{C3380CC4-5D6E-409C-BE32-E72D297353CC}">
              <c16:uniqueId val="{00000001-2130-4476-B466-D2746716B1CA}"/>
            </c:ext>
          </c:extLst>
        </c:ser>
        <c:ser>
          <c:idx val="2"/>
          <c:order val="2"/>
          <c:tx>
            <c:strRef>
              <c:f>Sheet1!$D$1</c:f>
              <c:strCache>
                <c:ptCount val="1"/>
                <c:pt idx="0">
                  <c:v>2018</c:v>
                </c:pt>
              </c:strCache>
            </c:strRef>
          </c:tx>
          <c:spPr>
            <a:solidFill>
              <a:srgbClr val="00B05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Sheet1!$D$2:$D$13</c:f>
              <c:numCache>
                <c:formatCode>General</c:formatCode>
                <c:ptCount val="12"/>
                <c:pt idx="0">
                  <c:v>371</c:v>
                </c:pt>
                <c:pt idx="1">
                  <c:v>258</c:v>
                </c:pt>
                <c:pt idx="2">
                  <c:v>248</c:v>
                </c:pt>
                <c:pt idx="3">
                  <c:v>498</c:v>
                </c:pt>
                <c:pt idx="4">
                  <c:v>291</c:v>
                </c:pt>
                <c:pt idx="5">
                  <c:v>219</c:v>
                </c:pt>
                <c:pt idx="6">
                  <c:v>605</c:v>
                </c:pt>
                <c:pt idx="7">
                  <c:v>328</c:v>
                </c:pt>
                <c:pt idx="8">
                  <c:v>229</c:v>
                </c:pt>
                <c:pt idx="9">
                  <c:v>638</c:v>
                </c:pt>
                <c:pt idx="10">
                  <c:v>303</c:v>
                </c:pt>
                <c:pt idx="11">
                  <c:v>299</c:v>
                </c:pt>
              </c:numCache>
            </c:numRef>
          </c:val>
          <c:extLst xmlns:c16r2="http://schemas.microsoft.com/office/drawing/2015/06/chart">
            <c:ext xmlns:c16="http://schemas.microsoft.com/office/drawing/2014/chart" uri="{C3380CC4-5D6E-409C-BE32-E72D297353CC}">
              <c16:uniqueId val="{00000002-2130-4476-B466-D2746716B1CA}"/>
            </c:ext>
          </c:extLst>
        </c:ser>
        <c:dLbls>
          <c:showLegendKey val="0"/>
          <c:showVal val="0"/>
          <c:showCatName val="0"/>
          <c:showSerName val="0"/>
          <c:showPercent val="0"/>
          <c:showBubbleSize val="0"/>
        </c:dLbls>
        <c:gapWidth val="150"/>
        <c:axId val="42323328"/>
        <c:axId val="42329216"/>
      </c:barChart>
      <c:catAx>
        <c:axId val="42323328"/>
        <c:scaling>
          <c:orientation val="minMax"/>
        </c:scaling>
        <c:delete val="0"/>
        <c:axPos val="b"/>
        <c:numFmt formatCode="General" sourceLinked="0"/>
        <c:majorTickMark val="none"/>
        <c:minorTickMark val="none"/>
        <c:tickLblPos val="nextTo"/>
        <c:crossAx val="42329216"/>
        <c:crosses val="autoZero"/>
        <c:auto val="1"/>
        <c:lblAlgn val="ctr"/>
        <c:lblOffset val="100"/>
        <c:noMultiLvlLbl val="0"/>
      </c:catAx>
      <c:valAx>
        <c:axId val="42329216"/>
        <c:scaling>
          <c:orientation val="minMax"/>
        </c:scaling>
        <c:delete val="0"/>
        <c:axPos val="l"/>
        <c:majorGridlines/>
        <c:numFmt formatCode="General" sourceLinked="1"/>
        <c:majorTickMark val="none"/>
        <c:minorTickMark val="none"/>
        <c:tickLblPos val="nextTo"/>
        <c:crossAx val="42323328"/>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t>2018 Critical Exploits, Malware and Incidents</a:t>
            </a:r>
          </a:p>
        </c:rich>
      </c:tx>
      <c:layout/>
      <c:overlay val="0"/>
    </c:title>
    <c:autoTitleDeleted val="0"/>
    <c:plotArea>
      <c:layout/>
      <c:lineChart>
        <c:grouping val="standard"/>
        <c:varyColors val="0"/>
        <c:ser>
          <c:idx val="0"/>
          <c:order val="0"/>
          <c:tx>
            <c:strRef>
              <c:f>Sheet1!$B$1</c:f>
              <c:strCache>
                <c:ptCount val="1"/>
                <c:pt idx="0">
                  <c:v>Critical Exploits</c:v>
                </c:pt>
              </c:strCache>
            </c:strRef>
          </c:tx>
          <c:spPr>
            <a:ln w="38100">
              <a:solidFill>
                <a:srgbClr val="0000FF"/>
              </a:solidFill>
            </a:ln>
          </c:spPr>
          <c:marker>
            <c:symbol val="none"/>
          </c:marker>
          <c:cat>
            <c:strRef>
              <c:f>Sheet1!$A$2:$A$25</c:f>
              <c:strCache>
                <c:ptCount val="24"/>
                <c:pt idx="0">
                  <c:v>Jan '17</c:v>
                </c:pt>
                <c:pt idx="1">
                  <c:v>Feb '17</c:v>
                </c:pt>
                <c:pt idx="2">
                  <c:v>Mar '17</c:v>
                </c:pt>
                <c:pt idx="3">
                  <c:v>Apr '17</c:v>
                </c:pt>
                <c:pt idx="4">
                  <c:v>May '17</c:v>
                </c:pt>
                <c:pt idx="5">
                  <c:v>Jun '17</c:v>
                </c:pt>
                <c:pt idx="6">
                  <c:v>Jul '17</c:v>
                </c:pt>
                <c:pt idx="7">
                  <c:v>Aug '17</c:v>
                </c:pt>
                <c:pt idx="8">
                  <c:v>Sep '17</c:v>
                </c:pt>
                <c:pt idx="9">
                  <c:v>Oct '17</c:v>
                </c:pt>
                <c:pt idx="10">
                  <c:v>Nov '17</c:v>
                </c:pt>
                <c:pt idx="11">
                  <c:v>Dec '17</c:v>
                </c:pt>
                <c:pt idx="12">
                  <c:v>Jan '18</c:v>
                </c:pt>
                <c:pt idx="13">
                  <c:v>Feb '18</c:v>
                </c:pt>
                <c:pt idx="14">
                  <c:v>Mar '18</c:v>
                </c:pt>
                <c:pt idx="15">
                  <c:v>Apr '18</c:v>
                </c:pt>
                <c:pt idx="16">
                  <c:v>May '18</c:v>
                </c:pt>
                <c:pt idx="17">
                  <c:v>Jun '18</c:v>
                </c:pt>
                <c:pt idx="18">
                  <c:v>Jul' 18</c:v>
                </c:pt>
                <c:pt idx="19">
                  <c:v>Aug '18</c:v>
                </c:pt>
                <c:pt idx="20">
                  <c:v>Sep '18</c:v>
                </c:pt>
                <c:pt idx="21">
                  <c:v>Oct '18</c:v>
                </c:pt>
                <c:pt idx="22">
                  <c:v>Nov '18</c:v>
                </c:pt>
                <c:pt idx="23">
                  <c:v>Dec '18</c:v>
                </c:pt>
              </c:strCache>
            </c:strRef>
          </c:cat>
          <c:val>
            <c:numRef>
              <c:f>Sheet1!$B$2:$B$25</c:f>
              <c:numCache>
                <c:formatCode>General</c:formatCode>
                <c:ptCount val="24"/>
                <c:pt idx="0">
                  <c:v>5</c:v>
                </c:pt>
                <c:pt idx="1">
                  <c:v>11</c:v>
                </c:pt>
                <c:pt idx="2">
                  <c:v>11</c:v>
                </c:pt>
                <c:pt idx="3">
                  <c:v>14</c:v>
                </c:pt>
                <c:pt idx="4">
                  <c:v>17</c:v>
                </c:pt>
                <c:pt idx="5">
                  <c:v>5</c:v>
                </c:pt>
                <c:pt idx="6">
                  <c:v>16</c:v>
                </c:pt>
                <c:pt idx="7">
                  <c:v>13</c:v>
                </c:pt>
                <c:pt idx="8">
                  <c:v>7</c:v>
                </c:pt>
                <c:pt idx="9">
                  <c:v>20</c:v>
                </c:pt>
                <c:pt idx="10">
                  <c:v>9</c:v>
                </c:pt>
                <c:pt idx="11">
                  <c:v>21</c:v>
                </c:pt>
                <c:pt idx="12">
                  <c:v>8</c:v>
                </c:pt>
                <c:pt idx="13">
                  <c:v>11</c:v>
                </c:pt>
                <c:pt idx="14">
                  <c:v>15</c:v>
                </c:pt>
                <c:pt idx="15">
                  <c:v>18</c:v>
                </c:pt>
                <c:pt idx="16">
                  <c:v>16</c:v>
                </c:pt>
                <c:pt idx="17">
                  <c:v>15</c:v>
                </c:pt>
                <c:pt idx="18">
                  <c:v>11</c:v>
                </c:pt>
                <c:pt idx="19">
                  <c:v>11</c:v>
                </c:pt>
                <c:pt idx="20">
                  <c:v>13</c:v>
                </c:pt>
                <c:pt idx="21">
                  <c:v>22</c:v>
                </c:pt>
                <c:pt idx="22">
                  <c:v>20</c:v>
                </c:pt>
                <c:pt idx="23">
                  <c:v>9</c:v>
                </c:pt>
              </c:numCache>
            </c:numRef>
          </c:val>
          <c:smooth val="0"/>
          <c:extLst xmlns:c16r2="http://schemas.microsoft.com/office/drawing/2015/06/chart">
            <c:ext xmlns:c16="http://schemas.microsoft.com/office/drawing/2014/chart" uri="{C3380CC4-5D6E-409C-BE32-E72D297353CC}">
              <c16:uniqueId val="{00000000-8E29-4CFA-BA89-C600AA46493D}"/>
            </c:ext>
          </c:extLst>
        </c:ser>
        <c:ser>
          <c:idx val="1"/>
          <c:order val="1"/>
          <c:tx>
            <c:strRef>
              <c:f>Sheet1!$C$1</c:f>
              <c:strCache>
                <c:ptCount val="1"/>
                <c:pt idx="0">
                  <c:v>Malware Blocked  (thousands)</c:v>
                </c:pt>
              </c:strCache>
            </c:strRef>
          </c:tx>
          <c:spPr>
            <a:ln w="38100">
              <a:solidFill>
                <a:srgbClr val="2EAA28"/>
              </a:solidFill>
            </a:ln>
          </c:spPr>
          <c:marker>
            <c:symbol val="none"/>
          </c:marker>
          <c:cat>
            <c:strRef>
              <c:f>Sheet1!$A$2:$A$25</c:f>
              <c:strCache>
                <c:ptCount val="24"/>
                <c:pt idx="0">
                  <c:v>Jan '17</c:v>
                </c:pt>
                <c:pt idx="1">
                  <c:v>Feb '17</c:v>
                </c:pt>
                <c:pt idx="2">
                  <c:v>Mar '17</c:v>
                </c:pt>
                <c:pt idx="3">
                  <c:v>Apr '17</c:v>
                </c:pt>
                <c:pt idx="4">
                  <c:v>May '17</c:v>
                </c:pt>
                <c:pt idx="5">
                  <c:v>Jun '17</c:v>
                </c:pt>
                <c:pt idx="6">
                  <c:v>Jul '17</c:v>
                </c:pt>
                <c:pt idx="7">
                  <c:v>Aug '17</c:v>
                </c:pt>
                <c:pt idx="8">
                  <c:v>Sep '17</c:v>
                </c:pt>
                <c:pt idx="9">
                  <c:v>Oct '17</c:v>
                </c:pt>
                <c:pt idx="10">
                  <c:v>Nov '17</c:v>
                </c:pt>
                <c:pt idx="11">
                  <c:v>Dec '17</c:v>
                </c:pt>
                <c:pt idx="12">
                  <c:v>Jan '18</c:v>
                </c:pt>
                <c:pt idx="13">
                  <c:v>Feb '18</c:v>
                </c:pt>
                <c:pt idx="14">
                  <c:v>Mar '18</c:v>
                </c:pt>
                <c:pt idx="15">
                  <c:v>Apr '18</c:v>
                </c:pt>
                <c:pt idx="16">
                  <c:v>May '18</c:v>
                </c:pt>
                <c:pt idx="17">
                  <c:v>Jun '18</c:v>
                </c:pt>
                <c:pt idx="18">
                  <c:v>Jul' 18</c:v>
                </c:pt>
                <c:pt idx="19">
                  <c:v>Aug '18</c:v>
                </c:pt>
                <c:pt idx="20">
                  <c:v>Sep '18</c:v>
                </c:pt>
                <c:pt idx="21">
                  <c:v>Oct '18</c:v>
                </c:pt>
                <c:pt idx="22">
                  <c:v>Nov '18</c:v>
                </c:pt>
                <c:pt idx="23">
                  <c:v>Dec '18</c:v>
                </c:pt>
              </c:strCache>
            </c:strRef>
          </c:cat>
          <c:val>
            <c:numRef>
              <c:f>Sheet1!$C$2:$C$25</c:f>
              <c:numCache>
                <c:formatCode>0</c:formatCode>
                <c:ptCount val="24"/>
                <c:pt idx="0">
                  <c:v>14.596</c:v>
                </c:pt>
                <c:pt idx="1">
                  <c:v>14.968999999999999</c:v>
                </c:pt>
                <c:pt idx="2">
                  <c:v>122.893</c:v>
                </c:pt>
                <c:pt idx="3">
                  <c:v>48.445</c:v>
                </c:pt>
                <c:pt idx="4">
                  <c:v>24.861999999999998</c:v>
                </c:pt>
                <c:pt idx="5">
                  <c:v>47.741999999999997</c:v>
                </c:pt>
                <c:pt idx="6">
                  <c:v>16.315000000000001</c:v>
                </c:pt>
                <c:pt idx="7">
                  <c:v>32.261000000000003</c:v>
                </c:pt>
                <c:pt idx="8">
                  <c:v>28.917999999999999</c:v>
                </c:pt>
                <c:pt idx="9">
                  <c:v>154.596</c:v>
                </c:pt>
                <c:pt idx="10">
                  <c:v>126.19199999999999</c:v>
                </c:pt>
                <c:pt idx="11">
                  <c:v>149.66399999999999</c:v>
                </c:pt>
                <c:pt idx="12">
                  <c:v>81</c:v>
                </c:pt>
                <c:pt idx="13">
                  <c:v>91</c:v>
                </c:pt>
                <c:pt idx="14">
                  <c:v>196</c:v>
                </c:pt>
                <c:pt idx="15">
                  <c:v>34</c:v>
                </c:pt>
                <c:pt idx="16">
                  <c:v>9</c:v>
                </c:pt>
                <c:pt idx="17">
                  <c:v>8</c:v>
                </c:pt>
                <c:pt idx="18">
                  <c:v>7</c:v>
                </c:pt>
                <c:pt idx="19">
                  <c:v>18</c:v>
                </c:pt>
                <c:pt idx="20">
                  <c:v>10</c:v>
                </c:pt>
                <c:pt idx="21">
                  <c:v>17</c:v>
                </c:pt>
                <c:pt idx="22">
                  <c:v>8</c:v>
                </c:pt>
                <c:pt idx="23">
                  <c:v>10</c:v>
                </c:pt>
              </c:numCache>
            </c:numRef>
          </c:val>
          <c:smooth val="0"/>
          <c:extLst xmlns:c16r2="http://schemas.microsoft.com/office/drawing/2015/06/chart">
            <c:ext xmlns:c16="http://schemas.microsoft.com/office/drawing/2014/chart" uri="{C3380CC4-5D6E-409C-BE32-E72D297353CC}">
              <c16:uniqueId val="{00000001-8E29-4CFA-BA89-C600AA46493D}"/>
            </c:ext>
          </c:extLst>
        </c:ser>
        <c:ser>
          <c:idx val="2"/>
          <c:order val="2"/>
          <c:tx>
            <c:strRef>
              <c:f>Sheet1!$D$1</c:f>
              <c:strCache>
                <c:ptCount val="1"/>
                <c:pt idx="0">
                  <c:v>Number  of Incidents</c:v>
                </c:pt>
              </c:strCache>
            </c:strRef>
          </c:tx>
          <c:spPr>
            <a:ln w="38100">
              <a:solidFill>
                <a:srgbClr val="CA0D08"/>
              </a:solidFill>
            </a:ln>
          </c:spPr>
          <c:marker>
            <c:symbol val="none"/>
          </c:marker>
          <c:cat>
            <c:strRef>
              <c:f>Sheet1!$A$2:$A$25</c:f>
              <c:strCache>
                <c:ptCount val="24"/>
                <c:pt idx="0">
                  <c:v>Jan '17</c:v>
                </c:pt>
                <c:pt idx="1">
                  <c:v>Feb '17</c:v>
                </c:pt>
                <c:pt idx="2">
                  <c:v>Mar '17</c:v>
                </c:pt>
                <c:pt idx="3">
                  <c:v>Apr '17</c:v>
                </c:pt>
                <c:pt idx="4">
                  <c:v>May '17</c:v>
                </c:pt>
                <c:pt idx="5">
                  <c:v>Jun '17</c:v>
                </c:pt>
                <c:pt idx="6">
                  <c:v>Jul '17</c:v>
                </c:pt>
                <c:pt idx="7">
                  <c:v>Aug '17</c:v>
                </c:pt>
                <c:pt idx="8">
                  <c:v>Sep '17</c:v>
                </c:pt>
                <c:pt idx="9">
                  <c:v>Oct '17</c:v>
                </c:pt>
                <c:pt idx="10">
                  <c:v>Nov '17</c:v>
                </c:pt>
                <c:pt idx="11">
                  <c:v>Dec '17</c:v>
                </c:pt>
                <c:pt idx="12">
                  <c:v>Jan '18</c:v>
                </c:pt>
                <c:pt idx="13">
                  <c:v>Feb '18</c:v>
                </c:pt>
                <c:pt idx="14">
                  <c:v>Mar '18</c:v>
                </c:pt>
                <c:pt idx="15">
                  <c:v>Apr '18</c:v>
                </c:pt>
                <c:pt idx="16">
                  <c:v>May '18</c:v>
                </c:pt>
                <c:pt idx="17">
                  <c:v>Jun '18</c:v>
                </c:pt>
                <c:pt idx="18">
                  <c:v>Jul' 18</c:v>
                </c:pt>
                <c:pt idx="19">
                  <c:v>Aug '18</c:v>
                </c:pt>
                <c:pt idx="20">
                  <c:v>Sep '18</c:v>
                </c:pt>
                <c:pt idx="21">
                  <c:v>Oct '18</c:v>
                </c:pt>
                <c:pt idx="22">
                  <c:v>Nov '18</c:v>
                </c:pt>
                <c:pt idx="23">
                  <c:v>Dec '18</c:v>
                </c:pt>
              </c:strCache>
            </c:strRef>
          </c:cat>
          <c:val>
            <c:numRef>
              <c:f>Sheet1!$D$2:$D$25</c:f>
              <c:numCache>
                <c:formatCode>0</c:formatCode>
                <c:ptCount val="24"/>
                <c:pt idx="0">
                  <c:v>42</c:v>
                </c:pt>
                <c:pt idx="1">
                  <c:v>18</c:v>
                </c:pt>
                <c:pt idx="2">
                  <c:v>20</c:v>
                </c:pt>
                <c:pt idx="3">
                  <c:v>15</c:v>
                </c:pt>
                <c:pt idx="4">
                  <c:v>21</c:v>
                </c:pt>
                <c:pt idx="5">
                  <c:v>46</c:v>
                </c:pt>
                <c:pt idx="6">
                  <c:v>23</c:v>
                </c:pt>
                <c:pt idx="7">
                  <c:v>29</c:v>
                </c:pt>
                <c:pt idx="8">
                  <c:v>15</c:v>
                </c:pt>
                <c:pt idx="9">
                  <c:v>33</c:v>
                </c:pt>
                <c:pt idx="10">
                  <c:v>36</c:v>
                </c:pt>
                <c:pt idx="11">
                  <c:v>26</c:v>
                </c:pt>
                <c:pt idx="12" formatCode="General">
                  <c:v>11</c:v>
                </c:pt>
                <c:pt idx="13" formatCode="General">
                  <c:v>23</c:v>
                </c:pt>
                <c:pt idx="14" formatCode="General">
                  <c:v>13</c:v>
                </c:pt>
                <c:pt idx="15" formatCode="General">
                  <c:v>11</c:v>
                </c:pt>
                <c:pt idx="16" formatCode="General">
                  <c:v>9</c:v>
                </c:pt>
                <c:pt idx="17" formatCode="General">
                  <c:v>8</c:v>
                </c:pt>
                <c:pt idx="18" formatCode="General">
                  <c:v>12</c:v>
                </c:pt>
                <c:pt idx="19" formatCode="General">
                  <c:v>16</c:v>
                </c:pt>
                <c:pt idx="20" formatCode="General">
                  <c:v>9</c:v>
                </c:pt>
                <c:pt idx="21" formatCode="General">
                  <c:v>11</c:v>
                </c:pt>
                <c:pt idx="22" formatCode="General">
                  <c:v>18</c:v>
                </c:pt>
                <c:pt idx="23" formatCode="General">
                  <c:v>10</c:v>
                </c:pt>
              </c:numCache>
            </c:numRef>
          </c:val>
          <c:smooth val="0"/>
          <c:extLst xmlns:c16r2="http://schemas.microsoft.com/office/drawing/2015/06/chart">
            <c:ext xmlns:c16="http://schemas.microsoft.com/office/drawing/2014/chart" uri="{C3380CC4-5D6E-409C-BE32-E72D297353CC}">
              <c16:uniqueId val="{00000002-8E29-4CFA-BA89-C600AA46493D}"/>
            </c:ext>
          </c:extLst>
        </c:ser>
        <c:dLbls>
          <c:showLegendKey val="0"/>
          <c:showVal val="0"/>
          <c:showCatName val="0"/>
          <c:showSerName val="0"/>
          <c:showPercent val="0"/>
          <c:showBubbleSize val="0"/>
        </c:dLbls>
        <c:marker val="1"/>
        <c:smooth val="0"/>
        <c:axId val="116040832"/>
        <c:axId val="116042368"/>
      </c:lineChart>
      <c:catAx>
        <c:axId val="116040832"/>
        <c:scaling>
          <c:orientation val="minMax"/>
        </c:scaling>
        <c:delete val="0"/>
        <c:axPos val="b"/>
        <c:numFmt formatCode="General" sourceLinked="0"/>
        <c:majorTickMark val="none"/>
        <c:minorTickMark val="none"/>
        <c:tickLblPos val="nextTo"/>
        <c:crossAx val="116042368"/>
        <c:crosses val="autoZero"/>
        <c:auto val="1"/>
        <c:lblAlgn val="ctr"/>
        <c:lblOffset val="100"/>
        <c:noMultiLvlLbl val="0"/>
      </c:catAx>
      <c:valAx>
        <c:axId val="116042368"/>
        <c:scaling>
          <c:orientation val="minMax"/>
        </c:scaling>
        <c:delete val="0"/>
        <c:axPos val="l"/>
        <c:majorGridlines/>
        <c:numFmt formatCode="General" sourceLinked="1"/>
        <c:majorTickMark val="none"/>
        <c:minorTickMark val="none"/>
        <c:tickLblPos val="nextTo"/>
        <c:spPr>
          <a:ln w="9525">
            <a:noFill/>
          </a:ln>
        </c:spPr>
        <c:crossAx val="116040832"/>
        <c:crosses val="autoZero"/>
        <c:crossBetween val="between"/>
      </c:valAx>
      <c:spPr>
        <a:noFill/>
        <a:ln w="25400">
          <a:noFill/>
        </a:ln>
      </c:spPr>
    </c:plotArea>
    <c:legend>
      <c:legendPos val="b"/>
      <c:layout/>
      <c:overlay val="0"/>
      <c:spPr>
        <a:noFill/>
      </c:spPr>
    </c:legend>
    <c:plotVisOnly val="1"/>
    <c:dispBlanksAs val="gap"/>
    <c:showDLblsOverMax val="0"/>
  </c:chart>
  <c:spPr>
    <a:ln>
      <a:noFill/>
    </a:ln>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100">
                <a:latin typeface="Verdana" panose="020B0604030504040204" pitchFamily="34" charset="0"/>
                <a:ea typeface="Verdana" panose="020B0604030504040204" pitchFamily="34" charset="0"/>
                <a:cs typeface="Verdana" panose="020B0604030504040204" pitchFamily="34" charset="0"/>
              </a:rPr>
              <a:t>2018 Percentage of Investigations </a:t>
            </a:r>
          </a:p>
        </c:rich>
      </c:tx>
      <c:layout/>
      <c:overlay val="0"/>
    </c:title>
    <c:autoTitleDeleted val="0"/>
    <c:plotArea>
      <c:layout/>
      <c:pieChart>
        <c:varyColors val="1"/>
        <c:ser>
          <c:idx val="0"/>
          <c:order val="0"/>
          <c:tx>
            <c:strRef>
              <c:f>Sheet1!$B$1</c:f>
              <c:strCache>
                <c:ptCount val="1"/>
                <c:pt idx="0">
                  <c:v>% of Total Investigations</c:v>
                </c:pt>
              </c:strCache>
            </c:strRef>
          </c:tx>
          <c:dPt>
            <c:idx val="0"/>
            <c:bubble3D val="0"/>
            <c:extLst xmlns:c16r2="http://schemas.microsoft.com/office/drawing/2015/06/chart">
              <c:ext xmlns:c16="http://schemas.microsoft.com/office/drawing/2014/chart" uri="{C3380CC4-5D6E-409C-BE32-E72D297353CC}">
                <c16:uniqueId val="{00000000-850D-482E-AB66-B27122DBAC7A}"/>
              </c:ext>
            </c:extLst>
          </c:dPt>
          <c:dPt>
            <c:idx val="1"/>
            <c:bubble3D val="0"/>
            <c:extLst xmlns:c16r2="http://schemas.microsoft.com/office/drawing/2015/06/chart">
              <c:ext xmlns:c16="http://schemas.microsoft.com/office/drawing/2014/chart" uri="{C3380CC4-5D6E-409C-BE32-E72D297353CC}">
                <c16:uniqueId val="{00000001-850D-482E-AB66-B27122DBAC7A}"/>
              </c:ext>
            </c:extLst>
          </c:dPt>
          <c:dPt>
            <c:idx val="2"/>
            <c:bubble3D val="0"/>
            <c:extLst xmlns:c16r2="http://schemas.microsoft.com/office/drawing/2015/06/chart">
              <c:ext xmlns:c16="http://schemas.microsoft.com/office/drawing/2014/chart" uri="{C3380CC4-5D6E-409C-BE32-E72D297353CC}">
                <c16:uniqueId val="{00000002-850D-482E-AB66-B27122DBAC7A}"/>
              </c:ext>
            </c:extLst>
          </c:dPt>
          <c:dPt>
            <c:idx val="3"/>
            <c:bubble3D val="0"/>
            <c:extLst xmlns:c16r2="http://schemas.microsoft.com/office/drawing/2015/06/chart">
              <c:ext xmlns:c16="http://schemas.microsoft.com/office/drawing/2014/chart" uri="{C3380CC4-5D6E-409C-BE32-E72D297353CC}">
                <c16:uniqueId val="{00000003-850D-482E-AB66-B27122DBAC7A}"/>
              </c:ext>
            </c:extLst>
          </c:dPt>
          <c:dPt>
            <c:idx val="4"/>
            <c:bubble3D val="0"/>
            <c:extLst xmlns:c16r2="http://schemas.microsoft.com/office/drawing/2015/06/chart">
              <c:ext xmlns:c16="http://schemas.microsoft.com/office/drawing/2014/chart" uri="{C3380CC4-5D6E-409C-BE32-E72D297353CC}">
                <c16:uniqueId val="{00000004-850D-482E-AB66-B27122DBAC7A}"/>
              </c:ext>
            </c:extLst>
          </c:dPt>
          <c:dPt>
            <c:idx val="5"/>
            <c:bubble3D val="0"/>
            <c:extLst xmlns:c16r2="http://schemas.microsoft.com/office/drawing/2015/06/chart">
              <c:ext xmlns:c16="http://schemas.microsoft.com/office/drawing/2014/chart" uri="{C3380CC4-5D6E-409C-BE32-E72D297353CC}">
                <c16:uniqueId val="{00000005-850D-482E-AB66-B27122DBAC7A}"/>
              </c:ext>
            </c:extLst>
          </c:dPt>
          <c:dPt>
            <c:idx val="6"/>
            <c:bubble3D val="0"/>
            <c:extLst xmlns:c16r2="http://schemas.microsoft.com/office/drawing/2015/06/chart">
              <c:ext xmlns:c16="http://schemas.microsoft.com/office/drawing/2014/chart" uri="{C3380CC4-5D6E-409C-BE32-E72D297353CC}">
                <c16:uniqueId val="{00000006-850D-482E-AB66-B27122DBAC7A}"/>
              </c:ext>
            </c:extLst>
          </c:dPt>
          <c:dLbls>
            <c:dLbl>
              <c:idx val="3"/>
              <c:layout>
                <c:manualLayout>
                  <c:x val="5.0372872745745492E-2"/>
                  <c:y val="0.12116426306926688"/>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50D-482E-AB66-B27122DBAC7A}"/>
                </c:ext>
              </c:extLst>
            </c:dLbl>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Sheet1!$A$2:$A$5</c:f>
              <c:strCache>
                <c:ptCount val="4"/>
                <c:pt idx="0">
                  <c:v>COV Agency</c:v>
                </c:pt>
                <c:pt idx="1">
                  <c:v>Local Government</c:v>
                </c:pt>
                <c:pt idx="2">
                  <c:v>Higher Education</c:v>
                </c:pt>
                <c:pt idx="3">
                  <c:v>Public School Systems</c:v>
                </c:pt>
              </c:strCache>
            </c:strRef>
          </c:cat>
          <c:val>
            <c:numRef>
              <c:f>Sheet1!$B$2:$B$5</c:f>
              <c:numCache>
                <c:formatCode>0%</c:formatCode>
                <c:ptCount val="4"/>
                <c:pt idx="0">
                  <c:v>0.37665198237885461</c:v>
                </c:pt>
                <c:pt idx="1">
                  <c:v>5.2863436123348019E-2</c:v>
                </c:pt>
                <c:pt idx="2">
                  <c:v>0.4933920704845815</c:v>
                </c:pt>
                <c:pt idx="3">
                  <c:v>7.7092511013215861E-2</c:v>
                </c:pt>
              </c:numCache>
            </c:numRef>
          </c:val>
          <c:extLst xmlns:c16r2="http://schemas.microsoft.com/office/drawing/2015/06/chart">
            <c:ext xmlns:c16="http://schemas.microsoft.com/office/drawing/2014/chart" uri="{C3380CC4-5D6E-409C-BE32-E72D297353CC}">
              <c16:uniqueId val="{00000007-850D-482E-AB66-B27122DBAC7A}"/>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0.16156</cdr:x>
      <cdr:y>0.01613</cdr:y>
    </cdr:from>
    <cdr:to>
      <cdr:x>0.90435</cdr:x>
      <cdr:y>0.17994</cdr:y>
    </cdr:to>
    <cdr:sp macro="" textlink="">
      <cdr:nvSpPr>
        <cdr:cNvPr id="2" name="TextBox 1"/>
        <cdr:cNvSpPr txBox="1"/>
      </cdr:nvSpPr>
      <cdr:spPr>
        <a:xfrm xmlns:a="http://schemas.openxmlformats.org/drawingml/2006/main">
          <a:off x="1104901" y="52083"/>
          <a:ext cx="5079904" cy="5289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b="1" dirty="0" smtClean="0">
              <a:latin typeface="Verdana" panose="020B0604030504040204" pitchFamily="34" charset="0"/>
              <a:ea typeface="Verdana" panose="020B0604030504040204" pitchFamily="34" charset="0"/>
              <a:cs typeface="Verdana" panose="020B0604030504040204" pitchFamily="34" charset="0"/>
            </a:rPr>
            <a:t>Cyber Security Incidents by Category</a:t>
          </a:r>
        </a:p>
        <a:p xmlns:a="http://schemas.openxmlformats.org/drawingml/2006/main">
          <a:pPr algn="ctr"/>
          <a:r>
            <a:rPr lang="en-US" sz="1200" b="1" dirty="0" smtClean="0">
              <a:latin typeface="Verdana" panose="020B0604030504040204" pitchFamily="34" charset="0"/>
              <a:ea typeface="Verdana" panose="020B0604030504040204" pitchFamily="34" charset="0"/>
              <a:cs typeface="Verdana" panose="020B0604030504040204" pitchFamily="34" charset="0"/>
            </a:rPr>
            <a:t>2018</a:t>
          </a:r>
          <a:endParaRPr lang="en-US" sz="1200" b="1" dirty="0">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0.01917</cdr:x>
      <cdr:y>0.79116</cdr:y>
    </cdr:from>
    <cdr:to>
      <cdr:x>0.61652</cdr:x>
      <cdr:y>0.96315</cdr:y>
    </cdr:to>
    <cdr:sp macro="" textlink="">
      <cdr:nvSpPr>
        <cdr:cNvPr id="3" name="TextBox 2"/>
        <cdr:cNvSpPr txBox="1"/>
      </cdr:nvSpPr>
      <cdr:spPr>
        <a:xfrm xmlns:a="http://schemas.openxmlformats.org/drawingml/2006/main">
          <a:off x="123826" y="3067051"/>
          <a:ext cx="3857624" cy="666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US" sz="800" dirty="0" smtClean="0"/>
            <a:t>Notes: </a:t>
          </a:r>
        </a:p>
        <a:p xmlns:a="http://schemas.openxmlformats.org/drawingml/2006/main">
          <a:pPr lvl="1" algn="l"/>
          <a:r>
            <a:rPr lang="en-US" sz="800" dirty="0" smtClean="0"/>
            <a:t>2017 - 5 agencies </a:t>
          </a:r>
          <a:r>
            <a:rPr lang="en-US" sz="800" dirty="0" smtClean="0">
              <a:latin typeface="Verdana" panose="020B0604030504040204" pitchFamily="34" charset="0"/>
              <a:ea typeface="Verdana" panose="020B0604030504040204" pitchFamily="34" charset="0"/>
              <a:cs typeface="Verdana" panose="020B0604030504040204" pitchFamily="34" charset="0"/>
            </a:rPr>
            <a:t>with</a:t>
          </a:r>
          <a:r>
            <a:rPr lang="en-US" sz="800" dirty="0" smtClean="0"/>
            <a:t> a single campaign,  6038 employees tested</a:t>
          </a:r>
        </a:p>
        <a:p xmlns:a="http://schemas.openxmlformats.org/drawingml/2006/main">
          <a:pPr lvl="1" algn="l"/>
          <a:endParaRPr lang="en-US" sz="800" dirty="0"/>
        </a:p>
        <a:p xmlns:a="http://schemas.openxmlformats.org/drawingml/2006/main">
          <a:pPr lvl="1" algn="l"/>
          <a:r>
            <a:rPr lang="en-US" sz="800" dirty="0" smtClean="0"/>
            <a:t>2018 –  2 agencies with multiple campaigns, 529 employees tested</a:t>
          </a:r>
        </a:p>
      </cdr:txBody>
    </cdr:sp>
  </cdr:relSizeAnchor>
  <cdr:relSizeAnchor xmlns:cdr="http://schemas.openxmlformats.org/drawingml/2006/chartDrawing">
    <cdr:from>
      <cdr:x>0.44915</cdr:x>
      <cdr:y>0.05634</cdr:y>
    </cdr:from>
    <cdr:to>
      <cdr:x>0.55085</cdr:x>
      <cdr:y>0.22535</cdr:y>
    </cdr:to>
    <cdr:sp macro="" textlink="">
      <cdr:nvSpPr>
        <cdr:cNvPr id="4" name="TextBox 3"/>
        <cdr:cNvSpPr txBox="1"/>
      </cdr:nvSpPr>
      <cdr:spPr>
        <a:xfrm xmlns:a="http://schemas.openxmlformats.org/drawingml/2006/main">
          <a:off x="4038600" y="3048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dirty="0"/>
        </a:p>
      </cdr:txBody>
    </cdr:sp>
  </cdr:relSizeAnchor>
  <cdr:relSizeAnchor xmlns:cdr="http://schemas.openxmlformats.org/drawingml/2006/chartDrawing">
    <cdr:from>
      <cdr:x>0.1288</cdr:x>
      <cdr:y>0</cdr:y>
    </cdr:from>
    <cdr:to>
      <cdr:x>0.88372</cdr:x>
      <cdr:y>0.19919</cdr:y>
    </cdr:to>
    <cdr:sp macro="" textlink="">
      <cdr:nvSpPr>
        <cdr:cNvPr id="5" name="TextBox 1"/>
        <cdr:cNvSpPr txBox="1"/>
      </cdr:nvSpPr>
      <cdr:spPr>
        <a:xfrm xmlns:a="http://schemas.openxmlformats.org/drawingml/2006/main">
          <a:off x="765544" y="0"/>
          <a:ext cx="4486940" cy="71238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200" b="1" dirty="0" err="1" smtClean="0">
              <a:latin typeface="Verdana" panose="020B0604030504040204" pitchFamily="34" charset="0"/>
              <a:ea typeface="Verdana" panose="020B0604030504040204" pitchFamily="34" charset="0"/>
              <a:cs typeface="Verdana" panose="020B0604030504040204" pitchFamily="34" charset="0"/>
            </a:rPr>
            <a:t>CoVA</a:t>
          </a:r>
          <a:r>
            <a:rPr lang="en-US" sz="1200" b="1" dirty="0" smtClean="0">
              <a:latin typeface="Verdana" panose="020B0604030504040204" pitchFamily="34" charset="0"/>
              <a:ea typeface="Verdana" panose="020B0604030504040204" pitchFamily="34" charset="0"/>
              <a:cs typeface="Verdana" panose="020B0604030504040204" pitchFamily="34" charset="0"/>
            </a:rPr>
            <a:t> Simulated Phishing Results</a:t>
          </a:r>
        </a:p>
        <a:p xmlns:a="http://schemas.openxmlformats.org/drawingml/2006/main">
          <a:pPr algn="ctr"/>
          <a:r>
            <a:rPr lang="en-US" sz="1200" b="1" dirty="0" smtClean="0">
              <a:latin typeface="Verdana" panose="020B0604030504040204" pitchFamily="34" charset="0"/>
              <a:ea typeface="Verdana" panose="020B0604030504040204" pitchFamily="34" charset="0"/>
              <a:cs typeface="Verdana" panose="020B0604030504040204" pitchFamily="34" charset="0"/>
            </a:rPr>
            <a:t>2017 vs. 2018</a:t>
          </a:r>
          <a:endParaRPr lang="en-US" sz="1200" b="1" dirty="0">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0.16987</cdr:x>
      <cdr:y>0.01864</cdr:y>
    </cdr:from>
    <cdr:to>
      <cdr:x>0.81571</cdr:x>
      <cdr:y>0.23428</cdr:y>
    </cdr:to>
    <cdr:sp macro="" textlink="">
      <cdr:nvSpPr>
        <cdr:cNvPr id="2" name="TextBox 1"/>
        <cdr:cNvSpPr txBox="1"/>
      </cdr:nvSpPr>
      <cdr:spPr>
        <a:xfrm xmlns:a="http://schemas.openxmlformats.org/drawingml/2006/main">
          <a:off x="1009651" y="56080"/>
          <a:ext cx="3838574" cy="6487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200" b="1" dirty="0" smtClean="0">
              <a:latin typeface="Verdana" panose="020B0604030504040204" pitchFamily="34" charset="0"/>
              <a:ea typeface="Verdana" panose="020B0604030504040204" pitchFamily="34" charset="0"/>
              <a:cs typeface="Verdana" panose="020B0604030504040204" pitchFamily="34" charset="0"/>
            </a:rPr>
            <a:t>Attack Attempts</a:t>
          </a:r>
          <a:r>
            <a:rPr lang="en-US" sz="1200" b="1" baseline="0" dirty="0" smtClean="0">
              <a:latin typeface="Verdana" panose="020B0604030504040204" pitchFamily="34" charset="0"/>
              <a:ea typeface="Verdana" panose="020B0604030504040204" pitchFamily="34" charset="0"/>
              <a:cs typeface="Verdana" panose="020B0604030504040204" pitchFamily="34" charset="0"/>
            </a:rPr>
            <a:t> on the COV Network</a:t>
          </a:r>
          <a:r>
            <a:rPr lang="en-US" sz="1200" b="1" dirty="0" smtClean="0">
              <a:latin typeface="Verdana" panose="020B0604030504040204" pitchFamily="34" charset="0"/>
              <a:ea typeface="Verdana" panose="020B0604030504040204" pitchFamily="34" charset="0"/>
              <a:cs typeface="Verdana" panose="020B0604030504040204" pitchFamily="34" charset="0"/>
            </a:rPr>
            <a:t> </a:t>
          </a:r>
        </a:p>
        <a:p xmlns:a="http://schemas.openxmlformats.org/drawingml/2006/main">
          <a:pPr algn="ctr"/>
          <a:r>
            <a:rPr lang="en-US" sz="1200" b="1" dirty="0" smtClean="0">
              <a:latin typeface="Verdana" panose="020B0604030504040204" pitchFamily="34" charset="0"/>
              <a:ea typeface="Verdana" panose="020B0604030504040204" pitchFamily="34" charset="0"/>
              <a:cs typeface="Verdana" panose="020B0604030504040204" pitchFamily="34" charset="0"/>
            </a:rPr>
            <a:t>2015 – 2017</a:t>
          </a:r>
          <a:endParaRPr lang="en-US" sz="1200" b="1" dirty="0">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0.70755</cdr:x>
      <cdr:y>0.79661</cdr:y>
    </cdr:from>
    <cdr:to>
      <cdr:x>0.98113</cdr:x>
      <cdr:y>1</cdr:y>
    </cdr:to>
    <cdr:sp macro="" textlink="">
      <cdr:nvSpPr>
        <cdr:cNvPr id="2" name="TextBox 1"/>
        <cdr:cNvSpPr txBox="1"/>
      </cdr:nvSpPr>
      <cdr:spPr>
        <a:xfrm xmlns:a="http://schemas.openxmlformats.org/drawingml/2006/main">
          <a:off x="5715000" y="3581400"/>
          <a:ext cx="22098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dirty="0"/>
        </a:p>
      </cdr:txBody>
    </cdr:sp>
  </cdr:relSizeAnchor>
  <cdr:relSizeAnchor xmlns:cdr="http://schemas.openxmlformats.org/drawingml/2006/chartDrawing">
    <cdr:from>
      <cdr:x>0.01629</cdr:x>
      <cdr:y>0.78545</cdr:y>
    </cdr:from>
    <cdr:to>
      <cdr:x>0.42483</cdr:x>
      <cdr:y>1</cdr:y>
    </cdr:to>
    <cdr:sp macro="" textlink="">
      <cdr:nvSpPr>
        <cdr:cNvPr id="3" name="TextBox 2"/>
        <cdr:cNvSpPr txBox="1"/>
      </cdr:nvSpPr>
      <cdr:spPr>
        <a:xfrm xmlns:a="http://schemas.openxmlformats.org/drawingml/2006/main">
          <a:off x="88753" y="1481319"/>
          <a:ext cx="2225822" cy="4046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dirty="0" smtClean="0">
              <a:latin typeface="Verdana" panose="020B0604030504040204" pitchFamily="34" charset="0"/>
              <a:ea typeface="Verdana" panose="020B0604030504040204" pitchFamily="34" charset="0"/>
              <a:cs typeface="Verdana" panose="020B0604030504040204" pitchFamily="34" charset="0"/>
            </a:rPr>
            <a:t>Total incidents for COV: 151</a:t>
          </a:r>
        </a:p>
        <a:p xmlns:a="http://schemas.openxmlformats.org/drawingml/2006/main">
          <a:r>
            <a:rPr lang="en-US" sz="900" dirty="0" smtClean="0">
              <a:latin typeface="Verdana" panose="020B0604030504040204" pitchFamily="34" charset="0"/>
              <a:ea typeface="Verdana" panose="020B0604030504040204" pitchFamily="34" charset="0"/>
              <a:cs typeface="Verdana" panose="020B0604030504040204" pitchFamily="34" charset="0"/>
            </a:rPr>
            <a:t>Estimated cleanup costs: $90,600</a:t>
          </a:r>
          <a:endParaRPr lang="en-US" sz="900" dirty="0">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0.70755</cdr:x>
      <cdr:y>0.79661</cdr:y>
    </cdr:from>
    <cdr:to>
      <cdr:x>0.98113</cdr:x>
      <cdr:y>1</cdr:y>
    </cdr:to>
    <cdr:sp macro="" textlink="">
      <cdr:nvSpPr>
        <cdr:cNvPr id="2" name="TextBox 1"/>
        <cdr:cNvSpPr txBox="1"/>
      </cdr:nvSpPr>
      <cdr:spPr>
        <a:xfrm xmlns:a="http://schemas.openxmlformats.org/drawingml/2006/main">
          <a:off x="5715000" y="3581400"/>
          <a:ext cx="22098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dirty="0"/>
        </a:p>
      </cdr:txBody>
    </cdr:sp>
  </cdr:relSizeAnchor>
</c:userShapes>
</file>

<file path=word/drawings/drawing6.xml><?xml version="1.0" encoding="utf-8"?>
<c:userShapes xmlns:c="http://schemas.openxmlformats.org/drawingml/2006/chart">
  <cdr:relSizeAnchor xmlns:cdr="http://schemas.openxmlformats.org/drawingml/2006/chartDrawing">
    <cdr:from>
      <cdr:x>0.05104</cdr:x>
      <cdr:y>0.33333</cdr:y>
    </cdr:from>
    <cdr:to>
      <cdr:x>0.96563</cdr:x>
      <cdr:y>0.33681</cdr:y>
    </cdr:to>
    <cdr:cxnSp macro="">
      <cdr:nvCxnSpPr>
        <cdr:cNvPr id="3" name="Straight Connector 2"/>
        <cdr:cNvCxnSpPr/>
      </cdr:nvCxnSpPr>
      <cdr:spPr>
        <a:xfrm xmlns:a="http://schemas.openxmlformats.org/drawingml/2006/main" flipV="1">
          <a:off x="233363" y="914400"/>
          <a:ext cx="4181475" cy="9525"/>
        </a:xfrm>
        <a:prstGeom xmlns:a="http://schemas.openxmlformats.org/drawingml/2006/main" prst="line">
          <a:avLst/>
        </a:prstGeom>
        <a:ln xmlns:a="http://schemas.openxmlformats.org/drawingml/2006/main" w="254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Default Design">
    <a:majorFont>
      <a:latin typeface="Century Gothic"/>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08213-5326-476E-86C4-A720C37E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11661</Words>
  <Characters>66472</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2019-08-07T21:03:00Z</dcterms:created>
  <dcterms:modified xsi:type="dcterms:W3CDTF">2019-08-07T21:03:00Z</dcterms:modified>
</cp:coreProperties>
</file>